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mj"/>
      <w:bookmarkEnd w:id="1"/>
      <w:bookmarkStart w:id="2" w:name="hj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61312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3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bookmarkStart w:id="4" w:name="nd"/>
      <w:bookmarkEnd w:id="4"/>
      <w:bookmarkStart w:id="5" w:name="bh"/>
      <w:bookmarkEnd w:id="5"/>
      <w:bookmarkStart w:id="6" w:name="fwz"/>
      <w:bookmarkEnd w:id="6"/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关于印发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《渝中区促进专业服务业提质增效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三年行动方案（2025—2027年）》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sz w:val="44"/>
          <w:szCs w:val="44"/>
          <w14:textFill>
            <w14:solidFill>
              <w14:schemeClr w14:val="tx1"/>
            </w14:solidFill>
          </w14:textFill>
        </w:rPr>
        <w:t>的通知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textAlignment w:val="auto"/>
        <w:rPr>
          <w:rFonts w:hint="default" w:ascii="Times New Roman" w:hAnsi="Times New Roman" w:eastAsia="黑体" w:cs="Times New Roman"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区政府各部门、各管委会，各街道办事处，有关单位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875"/>
        </w:tabs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《渝中区促进专业服务业提质增效三年行动方案（2025—2027年）》已经区政府同意，现印发给你们，请认真组织实施。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line="62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 w:themeColor="text1"/>
          <w:spacing w:val="0"/>
          <w:w w:val="10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4352" w:firstLineChars="136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5244" w:firstLineChars="1639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（此件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公开发布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w w:val="10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w w:val="99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Times New Roman" w:hAnsi="Times New Roman" w:eastAsia="方正小标宋_GBK" w:cs="Times New Roman"/>
          <w:color w:val="000000" w:themeColor="text1"/>
          <w:w w:val="99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渝中区促进专业服务业提质增效三年行动方案（2025—2027年）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为贯彻落实中共中央、国务院关于推动高质量发展的决策部署和市委、市政府工作要求，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十四五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规划完美收官和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规划顺利开局，持续推进西部高端专业服务中心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建设，根据《重庆市生产性服务业高质量发展行动计划（2024—2027年）》，结合渝中实际，特制定本行动方案。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0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（一）指导思想。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bidi="ar-SA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认真贯彻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党的二十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届三中全会、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市委六届六次全会和区委十三届六次全会精神，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紧扣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/>
          <w:lang w:eastAsia="zh-CN"/>
          <w14:textFill>
            <w14:solidFill>
              <w14:schemeClr w14:val="tx1"/>
            </w14:solidFill>
          </w14:textFill>
        </w:rPr>
        <w:t>成渝地区双城经济圈、西部陆海新通道、长江经济带高质量发展等国家重大战略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t>，充分发挥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渝中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八大优势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聚焦重点环节分领域推动专业服务业高质量发展，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高水平对外开放，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更好助力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全市打造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33618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现代制造业集群体系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，积极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14:textFill>
            <w14:solidFill>
              <w14:schemeClr w14:val="tx1"/>
            </w14:solidFill>
          </w14:textFill>
        </w:rPr>
        <w:t>培育区域经济新的增长极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（二）发展目标。</w:t>
      </w:r>
      <w:bookmarkStart w:id="7" w:name="OLE_LINK31"/>
      <w:bookmarkStart w:id="8" w:name="OLE_LINK32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通过三年努力，</w:t>
      </w:r>
      <w:bookmarkStart w:id="9" w:name="OLE_LINK3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全区会计、法律、人力资源、工程设计、检验检测、认证认可、信用服务、知识产权、战略咨询等专业门类更加完备，国内外知名机构数量全市领先，上市重组、涉外法务、高级人才寻访、山地复杂建筑设计、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u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碳足迹管理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等高端服务能力显著提升、服务半径持续扩大</w:t>
      </w:r>
      <w:bookmarkStart w:id="10" w:name="OLE_LINK16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，全国领军人才、高层次人才、资深专家、学者大量云集，</w:t>
      </w:r>
      <w:bookmarkEnd w:id="1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引领全市乃至西部发展作用进一步凸显，具有全国较大影响力的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西部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高端专业服务中心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基本建成。</w:t>
      </w:r>
      <w:bookmarkEnd w:id="7"/>
    </w:p>
    <w:bookmarkEnd w:id="8"/>
    <w:bookmarkEnd w:id="9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——产业规模稳步扩大。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2027年，全区专业服务业增加值力争达到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190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，增加值占全区GDP比重保持在9%水平。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——市场主体发展壮大。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2027年，全区规模以上专业服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务企业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数量力争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突破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——产业质量稳步提升。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2027年，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全区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规模以上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专业服务企业营业收入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力争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超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年均增长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二、重点任务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（一）聚焦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八大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关键领域，积极培育发展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新动能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1.工程技术与设计服务。支持企业通过联合体等形式积极参与市政设施、城市更新、排水管网等大型项目建设，逐步提升本土企业核心竞争力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。支持和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鼓励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国有资金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、社会资金投资项目采用工程总承包和全过程工程咨询服务。逐步培育一批工程总承包骨干企业和全过程工程咨询领军企业，引导企业由单一施工向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投建运一体化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模式转型。到2027年，新增工程技术与设计服务机构2家，力争工程技术与设计服务领域营业收入突破200亿元。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2.人力资源服务。</w:t>
      </w:r>
      <w:bookmarkStart w:id="11" w:name="OLE_LINK25"/>
      <w:bookmarkStart w:id="12" w:name="OLE_LINK26"/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支持本土领军企业建立跨省域服务节点，沿西部陆海新通道构建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一核多极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服务网络，力争形成服务半径覆盖云贵川三省的产业辐射圈。创新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人力资源服务+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产业融合模式，重点突破高端人才图谱建模、AI智能测评系统开发、跨国猎聘云平台建设等关键技术。培育形成以高级人才寻访（猎头）、人力资本价值评估、组织发展咨询为代表的高附加值服务矩阵和高端业态。</w:t>
      </w:r>
      <w:bookmarkEnd w:id="11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到2027年，新增人力资源机构30家，力争机构总量超260家，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培育汇聚全市人力资源服务业骨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干企业、十强机构5家，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3A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级以上人力资源服务机构10家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bookmarkEnd w:id="12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会计审计。持续巩固会计领域比较优势，推动事务所做优、做精、做专会计报表、财务收支、经济责任、清产核资等传统会计审计业务，引导事务所积极拓展业务新领域，提升并购重组、融资发债、破产管理、绩效评价、法务鉴定等</w:t>
      </w:r>
      <w:bookmarkStart w:id="13" w:name="OLE_LINK27"/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kern w:val="0"/>
          <w:sz w:val="32"/>
          <w:szCs w:val="32"/>
          <w:u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高附加值</w:t>
      </w:r>
      <w:bookmarkEnd w:id="13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业务占比，进一步优化服务产品结构、提升执业质量，更好服务于西部大开发、西部陆海新通道等国家战略。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到2027年，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新增会计师事务所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，转制特殊普通合伙事务所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培育本土具有证券资格事务所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4.法律服务。</w:t>
      </w:r>
      <w:bookmarkStart w:id="14" w:name="OLE_LINK28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u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高起点打造西部法律服务标杆示范区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支持律师事务所规模化、特色化、品牌化、国际化发展，大力发展公证、仲裁、调解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、鉴定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shd w:val="clear" w:color="auto" w:fill="auto"/>
          <w14:textFill>
            <w14:solidFill>
              <w14:schemeClr w14:val="tx1"/>
            </w14:solidFill>
          </w14:textFill>
        </w:rPr>
        <w:t>等业务。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14:textFill>
            <w14:solidFill>
              <w14:schemeClr w14:val="tx1"/>
            </w14:solidFill>
          </w14:textFill>
        </w:rPr>
        <w:t>通过全要素赋能、全链条升级，梯次构建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14:textFill>
            <w14:solidFill>
              <w14:schemeClr w14:val="tx1"/>
            </w14:solidFill>
          </w14:textFill>
        </w:rPr>
        <w:t>专精特新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14:textFill>
            <w14:solidFill>
              <w14:schemeClr w14:val="tx1"/>
            </w14:solidFill>
          </w14:textFill>
        </w:rPr>
        <w:t>法律矩阵，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培育一批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法律素养专业化、客户服务精细化、品牌定位特色化的中小律所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，做强一批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具有全国知名度的国际化综合大所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，发展一批专业能力强、行业认可度高的公证机构、鉴定机构、仲裁调解机构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形成具有国际影响力的法律服务生态圈。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到2027年，新增律师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事务所10家，</w:t>
      </w:r>
      <w:bookmarkStart w:id="15" w:name="OLE_LINK35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引进和培育具有全国影响力和国际竞争力的律师事务所各1家</w:t>
      </w:r>
      <w:bookmarkEnd w:id="15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bookmarkEnd w:id="14"/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5.知识产权服务。加速发展专利、商标、著作权、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集成电路布图设计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等代理服务，推进知识产权代理行业信用体系建设。支持知识产权服务与全面创新需求和重点产业、重点园区深度融合，鼓励知识产权服务机构向专业化、特色化、高端化方向发展，提升高质量知识产权服务供给能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6.检验检测认证认可。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对接全市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33618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制造业集群体系和围绕全区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4311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现代产业体系，巩固发扬现有优势，积极拓展新兴检测领域，聚焦软件及通信服务、生态环境、医疗卫生医药器械、建筑工程、食品安全检测及司法与刑事技术鉴定、检验检测延伸服务和认证服务等方向加强培育、招引，做强检验检测产业。到2027年，新增检验检测认证认可机构3家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7.信用服务。以培育信用服务产业为重点，引进培育一批具有影响力的专业服务机构，聚焦信用信息采集、整理加工、存储传输、公共和市场应用等环节，加快信用服务全产业链布局。以激活信用服务市场为核心，通过政府示范应用，带动企业主动应用、个人自觉应用和信用服务机构创新供给，全面激发信用服务市场需求。立足渝中区位优势，优化信用服务产品供给，加快信用科技、信用评级、信用保险、信用担保、商账管理、信用调查、信用管理咨询及培训等相关业态服务机构规模化发展，为普惠金融、商贸消费、直播营销、数字文旅、创意文化等新业态新模式提供信用支持。制定发布信用服务标准，引导信用服务机构树立品牌意识，走品牌化发展道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8.咨询服务。加快发展专业咨询服务，重点引进管理咨询、技术咨询、信息咨询、市场咨询、财务咨询等各类咨询机构，鼓励咨询机构在大型项目、大型课题中成立联合体进行公开招标、竞标，支持本土咨询机构与国外咨询机构通过合资合作、海外并购、联合经营等多种形式，在做好本地服务的同时，积极探索开拓市外、跨国咨询业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到2027年，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全区新增咨询机构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3家。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同时，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立足渝中资源禀赋、产业特点，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持续加强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保险中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:szCs w:val="32"/>
          <w:highlight w:val="none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介、房地产顾问等领域系统谋划，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一域一策</w:t>
      </w:r>
      <w:r>
        <w:rPr>
          <w:rFonts w:hint="eastAsia" w:ascii="Times New Roman" w:hAnsi="Times New Roman" w:eastAsia="方正仿宋_GBK" w:cs="Times New Roman"/>
          <w:color w:val="000000" w:themeColor="text1"/>
          <w:spacing w:val="-6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-6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打造标志性成果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加快</w:t>
      </w:r>
      <w:r>
        <w:rPr>
          <w:rFonts w:hint="eastAsia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四大</w:t>
      </w:r>
      <w:r>
        <w:rPr>
          <w:rFonts w:hint="eastAsia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园区建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设，全力打造专业服务</w:t>
      </w:r>
      <w:r>
        <w:rPr>
          <w:rFonts w:hint="eastAsia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新高地</w:t>
      </w:r>
      <w:r>
        <w:rPr>
          <w:rFonts w:hint="eastAsia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spacing w:val="-6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1.深入推进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西部金融中央法务区（重庆中央法务区）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建设。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制定各项工作机制，形成政策体系，构建官方微信公众平台等新媒体矩阵，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重点围绕渝中全域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一心两片多点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完善功能布局，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成新华路84号地块法务区展示平台，持续命名法务示范楼宇，新落户5家以上全国百强律所、拍卖、贷后服务等金融法治机构，聚集金融法治等相关法律服务从业人员约5000人，法律服务业在地区生产总值中占比有所提升，初步建成西部领先、具有全国影响力的法治平台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2.着力建设重庆市高端会计服务示范中心。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用好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重庆市渝中区国家服务业综合改革会计服务示范基地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金字招牌，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依托企业天地2—8号楼、重庆陆海国际中心等载体，支持有实力的本土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会计师事务所向全国性事务所发展，不断提升重庆地区会计审计服务辐射范围，梯度吸引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专精特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中小型事务所及同一管理平台的资产评估、造价、代理记账、会计咨询公司和税务师事务所入驻，进一步提升化龙桥国际商务区会计服务集聚度，形成更强的规模和质量比较优势，到2027年，力争该区域会计服务营业收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突破15亿元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倾力打造黄花园现代服务业产业园。加快形成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专业服务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产业集群，科学布局黄花园现代服务产业园，积极承接东部地区产业转移，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依托中冶赛迪创意大厦、市设计院办公大楼、科协大厦等载体，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全力构建名企汇集、上下贯通、集约集聚的建筑全产业链，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大力发展勘察设计、监理造价咨询、工业软件设计等生产性服务业，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2027年，力争黄花园现代服务业产业园营业收入突破130亿元。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4.积极打造重庆市人力资源服务集聚区。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争创以解放碑CBD为核心、辐射渝中全域的人力资源服务集聚区，推进人力资源服务业专业化、数字化、协同化、开放化、规范化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五化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发展。实施人力资源服务跃升行动，围绕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4311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现代化产业体系，举办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人力赋能·新质新航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系列人力资源供需对接品牌活动，联合人力资源服务机构发布《急需紧缺人才目录》，建立人力资源服务专员机制，组织专员对接区内重点企业200家次以上</w:t>
      </w:r>
      <w:bookmarkStart w:id="16" w:name="OLE_LINK9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，支持设立海外人力资源工作站等人力资源服务平台10家以上。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（三）实施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九大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/>
          <w:lang w:val="en-US" w:eastAsia="zh-CN" w:bidi="ar-SA"/>
          <w14:textFill>
            <w14:solidFill>
              <w14:schemeClr w14:val="tx1"/>
            </w14:solidFill>
          </w14:textFill>
        </w:rPr>
        <w:t>专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项行动，持续构筑竞争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新优势</w:t>
      </w:r>
      <w:r>
        <w:rPr>
          <w:rFonts w:hint="eastAsia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1.开展经营主体培育行动。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外引内育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并重，聚焦专业服务业关键领域，大力引进一批国内外知名会计师事务所、律师事务所、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工程技术与设计机构、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人力资源机构等专业服务业领军企业来渝设立区域总部或分支机构。积极培育一批本地企业，增强核心竞争力，全面融入全国大市场，创建一批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重庆服务名牌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2.开展特色楼宇打造行动。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结合渝中区楼宇经济三年行动计划，制定专业服务业特色楼宇认定办法，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依托化龙桥国际商务区、朝天门—解放碑绿色金融大道沿线重点载体，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打造专业服务产业楼宇集群，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因楼制宜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引导全区楼宇错位发展、特色经营，力争三年内累计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打造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专业服务业特色楼宇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栋以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积极争创重庆市现代生产性服务业集聚区。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3.开展政策矩阵构筑行动。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顶层设计，制定出台符合会计审计、法律服务、人力资源等专业服务业特点的产业扶持政策，持续完善西部金融中央法务区系列配套政策、专业服务业特色楼宇配套政策，建立和落实质量认证激励政策。积极向上争取政策、项目资金支持，做好市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两级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政策协同发力。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4.开展绿色低碳转型行动。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引导各类专业服务机构紧抓绿色发展契机和客户需求变化，重点从绿色能源、绿色交通、绿色建筑、绿色工业、绿色供应链、零碳园区创建等领域，提供差异化服务方案，丰富绿色产品供给。支持会计审计、工程技术与设计机构拓展绿色低碳、环境社会责任和公司治理（ESG）等业务，开展ESG报告、碳资产管理、碳排放核算核查、</w:t>
      </w:r>
      <w:bookmarkStart w:id="17" w:name="OLE_LINK17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碳足迹管理</w:t>
      </w:r>
      <w:bookmarkEnd w:id="17"/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等新兴绿色低碳服务，鼓励信用评级机构开展绿色债券评级服务。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5.开展数字增效赋能行动。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加快平台建设，鼓励会计师事务所、律师事务所建设全流程、信息化智能作业平台及辅助工具，鼓励工程技术与设计服务机构构建数字设计基础平台和集成系统，鼓励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人力资源服务机构开发灵活用工平台，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逐步实现业务远程化、智能化、数字化、协同化作业。强化技术创新，支持人力资源服务机构开发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AI劳动力模型、劳资风控、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元宇宙招聘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等数智产品，提升核心竞争力。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推进检验检测管理信息化，推广使用实验室信息管理系统，引导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检验检测认证认可机构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数字化转型升级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6.开展企业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千帆远航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行动。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推动专业服务机构多渠道全球化布局，促进专业服务业为实体经济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走出去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赋能。鼓励专业服务机构创建国际网络，围绕企业创新发展和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走出去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需求，在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一带一路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沿线国家或地区设立分支机构或办事处，不断提升业务辐射范围；探索和积累支持专业服务机构国际化发展经验，研究出台支持企业发展国际业务的政策措施，重点提升专业服务机构对海外知识产权维权、投资地法律支持、国际化战略布局等方面的服务供给，更好为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走出去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项目提供出海指引和路径服务。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7.开展跨行业融合发展行动。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动态更新各类专业服务机构信息，鼓励专业服务机构与金融、商贸、文旅、软信、大健康、科创等重点行业主体建立交流服务平台。鼓励各类咨询服务公司为招商引资企业投资、发展提供各领域第三方专业服务，助力招商落地项目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8.开展精英人才引育行动。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以专业服务业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四大</w:t>
      </w:r>
      <w:r>
        <w:rPr>
          <w:rFonts w:hint="eastAsia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园区建设为抓手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加快一批技术型、复合型和国际型高端领军人才向渝中集聚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成立专业服务业专家智库，借智借力助推产业发展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shd w:val="clear" w:color="auto"/>
          <w:lang w:eastAsia="zh-CN"/>
          <w14:textFill>
            <w14:solidFill>
              <w14:schemeClr w14:val="tx1"/>
            </w14:solidFill>
          </w14:textFill>
        </w:rPr>
        <w:t>。深化产学研融合，加快高端人才培养。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积极推荐优秀人才参加国家、市、区的各类表彰评选活动；鼓励人才参加职业资格考试、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高端人才培养计划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等在职学习和培训。完善人才居留落户、出入境等保障服务。到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2027年，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新引进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注册会计师200名以上、涉外法律服务人才15名以上、专利代理师10名以上，培育全国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勘察设计大师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2名以上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渝中区高层次人才50名以上，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全区专业服务业从业人员数量突破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2.5万人。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9.开展营商环境提升行动。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优化市场准入服务，严格执行全国统一的市场准入负面清单，完善外商投资企业准入登记制度，推进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证照联办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集成化办理，全面强化政务服务数字赋能。助推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全渝数智法院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建设，健全法院与市场监管等部门之间数据共享机制，提升商业纠纷解决效率，依法平等保护各类市场主体产权和合法权益。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全面落实公平竞争审查制度，开展招标投标领域优化营商环境专项整治，消除招标投标过程中对不同地域、不同所有制企业设置的各类不合理限制和壁垒，促进市场公平公正公开竞争。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持续构建亲清统一新型政商关系，落实常态化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三服务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机制，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切实解决市场主体痛点难点堵点问题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1"/>
          <w:szCs w:val="3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三、工作保障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成立专业服务业发展工作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专班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，健全产业提质增效工作推进机制，由区产业发展促进局牵头，相关行业主管部门、管委会作为成员单位，共同推动专业服务业各领域高质量发展。成员单位要加强与市级部门、行业协会上下联动，按照上级规划确定的指导思想、发展目标和重点任务，结合渝中实际全面贯彻落实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bookmarkStart w:id="18" w:name="OLE_LINK3"/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加强党建引领。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依托市级行业协会、区级行业主管部门，全面加强党对专业服务业各领域、各</w:t>
      </w:r>
      <w:bookmarkStart w:id="19" w:name="OLE_LINK2"/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bookmarkEnd w:id="19"/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的领导，支持有条件的企业积极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建立党组织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，强化党员教育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打造党建亮点，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深入促进党建与业务工作融合发展。引导各企业坚持以党建带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群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建，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不断提高党的组织覆盖和工作覆盖。</w:t>
      </w:r>
    </w:p>
    <w:bookmarkEnd w:id="18"/>
    <w:p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（三）加强保障服务。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区发改委要定期牵头梳理《重点联系服务企业清单》，并指导区级部门、管委会、街道开展常态化企业联系服务；区财政局要加强产业发展相关经费统筹，让有限的财政资金发挥最大的撬动效用；区教委、区人社局、区卫健委、区公安分局要按照职能职责，全力做好人才医疗优诊、子女入学、劳动仲裁、人才落户等保障服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（四）加强监测评估。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进一步健全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服务业统计工作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机制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加强统计业务培训和数据审核力度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不断提高数据质量。组织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开展行业经济指标运行情况动态监测，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信息发布制度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实施情况中期评估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总结评估，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做好行业发展形势分析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（五）加强宣传引导。</w:t>
      </w:r>
      <w:bookmarkStart w:id="20" w:name="OLE_LINK29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各成员单位要及时总结先进做法和典型经验，广泛宣传实施效果好、带动作用强的重点项目和创新举措，努力营造良好发展氛围。要充分利用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人力资源服务峰会、川渝专业服务论坛等活动资源，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讲好渝中故事，发出渝中声音，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联动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福布斯中国等知名平台，编制发布专业服务业发展指数，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不断提升西部高端专业服务中心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知名度、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影响力。</w:t>
      </w:r>
      <w:bookmarkEnd w:id="20"/>
    </w:p>
    <w:p>
      <w:pP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17" w:right="1587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pacing w:val="-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97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渝中区促进专业服务业提质增效三年行动方案（2025—2027年）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97"/>
          <w:sz w:val="44"/>
          <w:szCs w:val="44"/>
          <w14:textFill>
            <w14:solidFill>
              <w14:schemeClr w14:val="tx1"/>
            </w14:solidFill>
          </w14:textFill>
        </w:rPr>
        <w:t>任务分工</w:t>
      </w:r>
      <w:r>
        <w:rPr>
          <w:rFonts w:hint="default" w:ascii="Times New Roman" w:hAnsi="Times New Roman" w:eastAsia="方正小标宋_GBK" w:cs="Times New Roman"/>
          <w:color w:val="000000" w:themeColor="text1"/>
          <w:spacing w:val="0"/>
          <w:w w:val="97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15030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10"/>
        <w:gridCol w:w="202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一、聚焦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关键领域，积极培育发展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新动能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技术与设计服务。支持企业通过联合体等形式积极参与市政设施、城市更新、排水管网等大型项目建设，逐步提升本土企业核心竞争力。支持和鼓励国有资金、社会资金投资项目采用工程总承包和全过程工程咨询服务。逐步培育一批工程总承包骨干企业和全过程工程咨询领军企业，引导企业由单一施工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投建运一体化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模式转型。到2027年，新增工程技术与设计服务机构2家，力争工程技术与设计服务领域营业收入突破200亿元。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人力资源服务。支持本土领军企业建立跨省域服务节点，沿西部陆海新通道构建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一核多极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服务网络，力争形成服务半径覆盖云贵川三省的产业辐射圈。创新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人力资源服务+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业融合模式，重点突破高端人才图谱建模、AI智能测评系统开发、跨国猎聘云平台建设等关键技术。培育形成以高级人才寻访（猎头）、人力资本价值评估、组织发展咨询为代表的高附加值服务矩阵和高端业态。到2027年，新增人力资源机构30家，力争机构总量超260家，培育汇聚全市人力资源服务业骨干企业、十强机构5家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级以上人力资源服务机构10家。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审计。持续巩固会计领域比较优势，推动事务所做优、做精、做专会计报表、财务收支、经济责任、清产核资等传统会计审计业务，引导事务所积极拓展业务新领域，提升并购重组、融资发债、破产管理、绩效评价、法务鉴定等高附加值业务占比，进一步优化服务产品结构、提升执业质量，更好服务于西部大开发、西部陆海新通道等国家战略。到2027年，新增会计师事务所3家，转制特殊普通合伙事务所1家，培育本土具有证券资格事务所1家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法律服务。高起点打造西部法律服务标杆示范区，支持律师事务所规模化、特色化、品牌化、国际化发展，大力发展公证、仲裁、调解、鉴定等业务。通过全要素赋能、全链条升级，梯次构建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专精特新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矩阵，培育一批法律素养专业化、客户服务精细化、品牌定位特色化的中小律所，做强一批具有全国知名度的国际化综合大所，发展一批专业能力强、行业认可度高的公证机构、鉴定机构、仲裁调解机构，形成具有国际影响力的法律服务生态圈。到2027年，新增律师事务所10家，引进和培育具有全国影响力和国际竞争力的律师事务所各1家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区司法局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服务。加速发展专利、商标、著作权、集成电路布图设计等代理服务，推进知识产权代理行业信用体系建设。支持知识产权服务与全面创新需求和重点产业、重点园区深度融合，鼓励知识产权服务机构向专业化、特色化、高端化方向发展，提升高质量知识产权服务供给能力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区发展改革委、区科技局、区经济信息委、区住房城市建委、区商务委、区文化旅游委、区卫生健康委、区产业发展促进局、解放碑CBD管委会、历史文化街区管委会、数字经济产业园管委会、大石化新区管委会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检验检测认证认可。对接全市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33618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制造业集群体系和围绕全区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产业体系，巩固发扬现有优势，积极拓展新兴检测领域，聚焦软件及通信服务、生态环境、医疗卫生医药器械、建筑工程、食品安全检测及司法与刑事技术鉴定、检验检测延伸服务和认证服务等方向加强培育、招引，做强检验检测产业。到2027年，新增检验检测认证认可机构3家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区科技局、区经济信息委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区司法局、区人力社保局、区生态环境局、区住房城市建委、区商务委、区文化旅游委、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区卫生健康委、区产业发展促进局、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区交通运输委、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区大数据发展局、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区公安分局、区规划自然资源局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用服务。以培育信用服务产业为重点，引进培育一批具有影响力的专业服务机构，聚焦信用信息采集、整理加工、存储传输、公共和市场应用等环节，加快信用服务全产业链布局。以激活信用服务市场为核心，通过政府示范应用，带动企业主动应用、个人自觉应用和信用服务机构创新供给，全面激发信用服务市场需求。立足渝中区位优势，优化信用服务产品供给，加快信用科技、信用评级、信用保险、信用担保、商账管理、信用调查、信用管理咨询及培训等相关业态服务机构规模化发展，为普惠金融、商贸消费、直播营销、数字文旅、创意文化等新业态新模式提供信用支持。制定发布信用服务标准，引导信用服务机构树立品牌意识，走品牌化发展道路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咨询服务。加快发展专业咨询服务，重点引进管理咨询、技术咨询、信息咨询、市场咨询、财务咨询等各类咨询机构，鼓励咨询机构在大型项目、大型课题中成立联合体进行公开招标、竞标，支持本土咨询机构与国外咨询机构通过合资合作、海外并购、联合经营等多种形式，在做好本地服务的同时，积极探索开拓市外、跨国咨询业务。到2027年，全区新增咨询机构3家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二、加快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园区建设，全力打造专业服务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新高地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深入推进西部金融中央法务区（重庆中央法务区）建设。制定各项工作机制，形成政策体系，构建官方微信公众平台等新媒体矩阵，重点围绕渝中全域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一心两片多点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功能布局，建成新华路84号地块法务区展示平台，持续命名法务示范楼宇，新落户5家以上全国百强律所、拍卖、贷后服务等金融法治机构，聚集金融法治等相关法律服务从业人员约5000人，法律服务业在地区生产总值中占比有所提升，初步建成西部领先、具有全国影响力的法治平台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区司法局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区委政法委、区产业发展促进局、区税务局、区法院、区国资公司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着力建设重庆市高端会计服务示范中心。用好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重庆市渝中区国家服务业综合改革会计服务示范基地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金字招牌，依托企业天地2—8号楼、重庆陆海国际中心等载体，支持有实力的本土会计师事务所向全国性事务所发展，不断提升重庆地区会计审计服务辐射范围，梯度吸引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专精特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事务所及同一管理平台的资产评估、造价、代理记账、会计咨询公司和税务师事务所入驻，进一步提升化龙桥国际商务区会计服务集聚度，形成更强的规模和质量比较优势，到2027年，力争该区域会计服务营业收入突破15亿元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区财政局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区经济信息委、区住房城市建委、区税务局、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化龙桥国际商务区开发建设委员会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倾力打造黄花园现代服务业产业园。加快形成专业服务产业集群，科学布局黄花园现代服务产业园，积极承接东部地区产业转移，依托中冶赛迪创意大厦、市设计院办公大楼、科协大厦等载体，全力构建名企汇集、上下贯通、集约集聚的建筑全产业链，大力发展勘察设计、监理造价咨询、工业软件设计等生产性服务业，到2027年，力争黄花园现代服务业产业园营业收入突破130亿元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区发展改革委、区产业发展促进局、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数字经济产业园管委会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积极打造重庆市人力资源服务集聚区。争创以解放碑CBD为核心、辐射渝中全域的人力资源服务集聚区，推进人力资源服务业专业化、数字化、协同化、开放化、规范化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发展。实施人力资源服务跃升行动，围绕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4311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现代化产业体系，举办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人力赋能·新质新航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列人力资源供需对接品牌活动，联合人力资源服务机构发布《急需紧缺人才目录》，建立人力资源服务专员机制，组织专员对接区内重点企业200家次以上，支持设立海外人力资源工作站等人力资源服务平台10家以上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区发展改革委、区科技局、区经济信息委、区住房城市建委、区商务委、区文化旅游委、区卫生健康委、区产业发展促进局、区交通运输委、区大数据发展局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三、实施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专项行动，持续构筑竞争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新优势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开展经营主体培育行动。坚持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外引内育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重，聚焦专业服务业关键领域，大力引进一批国内外知名会计师事务所、律师事务所、工程技术与设计机构、人力资源机构等专业服务业领军企业来渝设立区域总部或分支机构。积极培育一批本地企业，增强核心竞争力，全面融入全国大市场，创建一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重庆服务名牌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开展特色楼宇打造行动。结合渝中区楼宇经济三年行动计划，制定专业服务业特色楼宇认定办法，依托化龙桥国际商务区、朝天门—解放碑绿色金融大道沿线重点载体，打造专业服务产业楼宇集群，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因楼制宜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引导全区楼宇错位发展、特色经营，力争三年内累计打造专业服务业特色楼宇4栋以上，积极争创重庆市现代生产性服务业集聚区。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区经济信息委、区住房城市建委、区国资委、区规划自然资源局、解放碑CBD管委会、历史文化街区管委会、数字经济产业园管委会、大石化新区管委会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政策矩阵构筑行动。加强顶层设计，制定出台符合会计审计、法律服务、人力资源等专业服务业特点的产业扶持政策，持续完善西部金融中央法务区系列配套政策、专业服务业特色楼宇配套政策，建立和落实质量认证激励政策。积极向上争取政策、项目资金支持，做好市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两级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政策协同发力。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区发展改革委、区司法局、区财政局、区人力社保局、区住房城市建委、区市场监管局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绿色低碳转型行动。引导各类专业服务机构紧抓绿色发展契机和客户需求变化，重点从绿色能源、绿色交通、绿色建筑、绿色工业、绿色供应链、零碳园区创建等领域，提供差异化服务方案，丰富绿色产品供给。支持会计审计、工程技术与设计机构拓展绿色低碳、环境社会责任和公司治理（ESG）等业务，开展ESG报告、碳资产管理、碳排放核算核查、碳足迹管理等新兴绿色低碳服务，鼓励信用评级机构开展绿色债券评级服务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区发展改革委、区经济信息委、区司法局、区人力社保局、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区生态环境局、区住房城市建委、区交通运输委、区市场监管局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数字增效赋能行动。加快平台建设，鼓励会计师事务所、律师事务所建设全流程、信息化智能作业平台及辅助工具，鼓励工程技术与设计服务机构构建数字设计基础平台和集成系统，鼓励人力资源服务机构开发灵活用工平台，逐步实现业务远程化、智能化、数字化、协同化作业。强化技术创新，支持人力资源服务机构开发AI劳动力模型、劳资风控、元宇宙招聘等数智产品，提升核心竞争力。推进检验检测管理信息化，推广使用实验室信息管理系统，引导检验检测认证认可机构数字化转型升级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开展企业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千帆远航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行动。推动专业服务机构多渠道全球化布局，促进专业服务业为实体经济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赋能。鼓励专业服务机构创建国际网络，围绕企业创新发展和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需求，在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一带一路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沿线国家或地区设立分支机构或办事处，不断提升业务辐射范围；探索和积累支持专业服务机构国际化发展经验，研究出台支持企业发展国际业务的政策措施，重点提升专业服务机构对海外知识产权维权、投资地法律支持、国际化战略布局等方面的服务供给，更好为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项目提供出海指引和路径服务。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区发展改革委、区经济信息委、区司法局、区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人力社保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局、区住房城市建委、区商务委、区市场监管局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26" w:name="_GoBack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开展跨行业融合发展行动。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态更新各类专业服务机构信息，鼓励专业服务机构与金融、商贸、文旅、软信、大健康、科创等重点行业主体建立交流服务平台。鼓励各类咨询服务公司为招商引资企业投资、发展提供各领域第三方专业服务，助力招商落地项目高质量发展。</w:t>
            </w:r>
            <w:bookmarkEnd w:id="26"/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区发展改革委、区科技局、区经济信息委、区司法局、区财政局、区人力社保局、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、区商务委、区文化旅游委、区卫生健康委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开展精英人才引育行动。以专业服务业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四大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园区建设为抓手，加快一批技术型、复合型和国际型高端领军人才向渝中集聚。成立专业服务业专家智库，借智借力助推产业发展。深化产学研融合，加快高端人才培养。积极推荐优秀人才参加国家、市、区的各类表彰评选活动；鼓励人才参加职业资格考试、高端人才培养计划等在职学习和培训。完善人才居留落户、出入境等保障服务。到2027年，新引进注册会计师200名以上、涉外法律服务人才15名以上、专利代理师10名以上，培育全国勘察设计大师2名以上、渝中区高层次人才50名以上，全区专业服务业从业人员数量突破2.5万人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区委组织部、区司法局、区人力社保局、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、区公安分局、区市场监管局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开展营商环境提升行动。优化市场准入服务，严格执行全国统一的市场准入负面清单，完善外商投资企业准入登记制度，推进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证照联办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集成化办理，全面强化政务服务数字赋能。助推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全渝数智法院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建设，健全法院与市场监管等部门之间数据共享机制，提升商业纠纷解决效率，依法平等保护各类市场主体产权和合法权益。全面落实公平竞争审查制度，开展招标投标领域优化营商环境专项整治，消除招标投标过程中对不同地域、不同所有制企业设置的各类不合理限制和壁垒，促进市场公平公正公开竞争。持续构建亲清统一新型政商关系，落实常态化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三服务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机制，切实解决市场主体痛点难点堵点问题。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区司法局、区财政局、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区人力社保局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、区商务委、区产业发展促进局、区政务服务办、区公安分局、区税务局、区法院、各管委会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四、工作保障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组织领导。成立专业服务业发展工作专班，健全产业提质增效工作推进机制，由区产业发展促进局牵头，相关行业主管部门、管委会作为成员单位，共同推动专业服务业各领域高质量发展。成员单位要加强与市级部门、行业协会上下联动，按照上级规划确定的指导思想、发展目标和重点任务，结合渝中实际全面贯彻落实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21" w:name="OLE_LINK4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  <w:bookmarkEnd w:id="21"/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22" w:name="OLE_LINK5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bookmarkEnd w:id="22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23" w:name="OLE_LINK6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  <w:bookmarkEnd w:id="23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bookmarkStart w:id="24" w:name="OLE_LINK7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解放碑CBD管委会、历史文化街区管委会、数字经济产业园管委会、大石化新区管委会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51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牵头单位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方正黑体_GBK" w:hAnsi="方正黑体_GBK" w:eastAsia="方正黑体_GBK" w:cs="方正黑体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10" w:type="dxa"/>
            <w:shd w:val="clear" w:color="auto" w:fill="auto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党建引领。依托市级行业协会、区级行业主管部门，全面加强党对专业服务业各领域、各企业的领导，支持有条件的企业积极建立党组织，强化党员教育管理，打造党建亮点，深入促进党建与业务工作融合发展。引导各企业坚持以党建带群建，不断提高党的组织覆盖和工作覆盖。</w:t>
            </w:r>
          </w:p>
        </w:tc>
        <w:tc>
          <w:tcPr>
            <w:tcW w:w="2025" w:type="dxa"/>
            <w:shd w:val="clear" w:color="auto" w:fill="auto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区委组织部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shd w:val="clear" w:color="auto" w:fill="auto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保障服务。区发改委要定期牵头梳理《重点联系服务企业清单》，并指导区级部门、管委会、街道开展常态化企业联系服务；区财政局要加强产业发展相关经费统筹，让有限的财政资金发挥最大的撬动效用；区教委、区人社局、区卫健委、区公安分局要按照职能职责，全力做好人才医疗优诊、子女入学、劳动仲裁、人才落户等保障服务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区教委、区司法局、区财政局、区人力社保局、区住房城市建委、区卫健委、区公安分局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监测评估。进一步健全专业服务业统计工作机制，加强统计业务培训和数据审核力度，不断提高数据质量。组织开展行业经济指标运行情况动态监测，完善运行信息发布制度；开展方案实施情况中期评估、总结评估，做好行业发展形势分析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区统计局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510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加强宣传引导。各成员单位要及时总结先进做法和典型经验，广泛宣传实施效果好、带动作用强的重点项目和创新举措，努力营造良好发展氛围。要充分利用人力资源服务峰会、川渝专业服务论坛等活动资源，讲好渝中故事，发出渝中声音，联动福布斯中国等知名平台，编制发布专业服务业发展指数，不断提升西部高端专业服务中心知名度、影响力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区委宣传部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pStyle w:val="7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、解放碑CBD管委会、历史文化街区管委会、数字经济产业园管委会、大石化新区管委会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5" w:name="OLE_LINK1"/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25"/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渝中区促进专业服务业提质增效三年行动方案（2025—2027年）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主要指标年度目标任务分解表</w:t>
      </w:r>
    </w:p>
    <w:tbl>
      <w:tblPr>
        <w:tblStyle w:val="13"/>
        <w:tblpPr w:leftFromText="180" w:rightFromText="180" w:vertAnchor="text" w:horzAnchor="page" w:tblpX="998" w:tblpY="403"/>
        <w:tblOverlap w:val="never"/>
        <w:tblW w:w="15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573"/>
        <w:gridCol w:w="1560"/>
        <w:gridCol w:w="1560"/>
        <w:gridCol w:w="1560"/>
        <w:gridCol w:w="2235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主要指标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年目标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年目标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2027年目标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专业服务业增加值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160亿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175亿元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190亿元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占全区GDP比重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9%水平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9%水平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9%水平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规模以上专业服务企业数量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165家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168家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170家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:szCs w:val="24"/>
                <w:highlight w:val="none"/>
                <w:shd w:val="clear" w:color="auto" w:fill="auto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规模以上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6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专业服务企业营业收入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405亿元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445亿元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500亿元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主要指标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年目标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年目标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2027年目标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规模以上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专业服务企业营业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增速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57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专业服务业从业人员数量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2.1万人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2.3万人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2.5万人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区产业发展促进局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区住房城市建委、区市场监管局、解放碑CBD管委会、历史文化街区管委会、数字经济产业园管委会、大石化新区管委会</w:t>
            </w:r>
          </w:p>
        </w:tc>
      </w:tr>
    </w:tbl>
    <w:p>
      <w:pPr>
        <w:pStyle w:val="16"/>
        <w:spacing w:line="240" w:lineRule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550799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85pt;height:0.05pt;width:433.7pt;z-index:251659264;mso-width-relative:page;mso-height-relative:page;" filled="f" stroked="t" coordsize="21600,21600" o:gfxdata="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Z14HdQAAAAEAQAADwAAAAAAAAABACAAAAAiAAAAZHJz&#10;L2Rvd25yZXYueG1sUEsBAhQAFAAAAAgAh07iQDgFPI8IAgAA6AMAAA4AAAAAAAAAAQAgAAAAIwEA&#10;AGRycy9lMm9Eb2MueG1sUEsFBgAAAAAGAAYAWQEAAJ0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50799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7990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85pt;height:0.05pt;width:433.7pt;z-index:251660288;mso-width-relative:page;mso-height-relative:page;" filled="f" stroked="t" coordsize="21600,21600" o:gfxdata="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qQBvVAAAABwEAAA8AAAAAAAAAAQAgAAAAIgAAAGRy&#10;cy9kb3ducmV2LnhtbFBLAQIUABQAAAAIAIdO4kBiwDmXCAIAAOgDAAAOAAAAAAAAAAEAIAAAACQ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重庆市渝中区人民政府办公室  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06475" cy="2705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pt;width:79.25pt;mso-position-horizontal:outside;mso-position-horizontal-relative:margin;z-index:251659264;mso-width-relative:page;mso-height-relative:page;" filled="f" stroked="f" coordsize="21600,21600" o:gfxdata="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CYTynUAAAABAEAAA8AAAAA&#10;AAAAAQAgAAAAIgAAAGRycy9kb3ducmV2LnhtbFBLAQIUABQAAAAIAIdO4kAww6H3GAIAABQEAAAO&#10;AAAAAAAAAAEAIAAAACM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63015" cy="2705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3015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3pt;width:99.45pt;mso-position-horizontal:outside;mso-position-horizontal-relative:margin;z-index:251660288;mso-width-relative:page;mso-height-relative:page;" filled="f" stroked="f" coordsize="21600,21600" o:gfxdata="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II+c9QAAAAEAQAADwAA&#10;AAAAAAABACAAAAAiAAAAZHJzL2Rvd25yZXYueG1sUEsBAhQAFAAAAAgAh07iQB0Ocvw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ind w:firstLine="280" w:firstLineChars="100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6A59"/>
    <w:rsid w:val="01CC35AD"/>
    <w:rsid w:val="02776C19"/>
    <w:rsid w:val="02C67359"/>
    <w:rsid w:val="032B2752"/>
    <w:rsid w:val="03592719"/>
    <w:rsid w:val="047B717E"/>
    <w:rsid w:val="04CA262B"/>
    <w:rsid w:val="05575376"/>
    <w:rsid w:val="05895799"/>
    <w:rsid w:val="05D80230"/>
    <w:rsid w:val="06AC51FC"/>
    <w:rsid w:val="06C60DAB"/>
    <w:rsid w:val="089B3EAA"/>
    <w:rsid w:val="096B763B"/>
    <w:rsid w:val="09C75498"/>
    <w:rsid w:val="0A4D5535"/>
    <w:rsid w:val="0AB10D4A"/>
    <w:rsid w:val="0DC906D0"/>
    <w:rsid w:val="0E61115B"/>
    <w:rsid w:val="0EED278D"/>
    <w:rsid w:val="0EF67752"/>
    <w:rsid w:val="0F0721DB"/>
    <w:rsid w:val="0F557BE4"/>
    <w:rsid w:val="0F900E7C"/>
    <w:rsid w:val="10691CEE"/>
    <w:rsid w:val="10C2549D"/>
    <w:rsid w:val="10E95CEF"/>
    <w:rsid w:val="10FD3A56"/>
    <w:rsid w:val="1166430F"/>
    <w:rsid w:val="118E0A95"/>
    <w:rsid w:val="120F64DA"/>
    <w:rsid w:val="1293621E"/>
    <w:rsid w:val="12B71440"/>
    <w:rsid w:val="13227CCE"/>
    <w:rsid w:val="13467110"/>
    <w:rsid w:val="14200E89"/>
    <w:rsid w:val="14555F7B"/>
    <w:rsid w:val="14650051"/>
    <w:rsid w:val="14DE316C"/>
    <w:rsid w:val="15332857"/>
    <w:rsid w:val="15DD2A90"/>
    <w:rsid w:val="16A863D8"/>
    <w:rsid w:val="173A5043"/>
    <w:rsid w:val="18DE5384"/>
    <w:rsid w:val="19884321"/>
    <w:rsid w:val="1AFC4828"/>
    <w:rsid w:val="1B8E6745"/>
    <w:rsid w:val="1BB33FD1"/>
    <w:rsid w:val="1BCA0DFF"/>
    <w:rsid w:val="1C401539"/>
    <w:rsid w:val="1C402410"/>
    <w:rsid w:val="1CFC77D5"/>
    <w:rsid w:val="1E523B34"/>
    <w:rsid w:val="1E9C5661"/>
    <w:rsid w:val="1F623FDF"/>
    <w:rsid w:val="1F73718E"/>
    <w:rsid w:val="1FAA7348"/>
    <w:rsid w:val="20044854"/>
    <w:rsid w:val="20143BD2"/>
    <w:rsid w:val="20313567"/>
    <w:rsid w:val="209A3AD1"/>
    <w:rsid w:val="20E75C06"/>
    <w:rsid w:val="20EE5BE5"/>
    <w:rsid w:val="21656E6C"/>
    <w:rsid w:val="22904516"/>
    <w:rsid w:val="22AB4755"/>
    <w:rsid w:val="22C746C9"/>
    <w:rsid w:val="22FC740C"/>
    <w:rsid w:val="233E225F"/>
    <w:rsid w:val="237508FC"/>
    <w:rsid w:val="23A14A77"/>
    <w:rsid w:val="242E7A71"/>
    <w:rsid w:val="246F5C63"/>
    <w:rsid w:val="24821887"/>
    <w:rsid w:val="2567095A"/>
    <w:rsid w:val="2614537B"/>
    <w:rsid w:val="26445E79"/>
    <w:rsid w:val="280274FC"/>
    <w:rsid w:val="2848179F"/>
    <w:rsid w:val="28663CE4"/>
    <w:rsid w:val="29FF1213"/>
    <w:rsid w:val="2A105316"/>
    <w:rsid w:val="2AED2715"/>
    <w:rsid w:val="2B3A4FB7"/>
    <w:rsid w:val="2B88520F"/>
    <w:rsid w:val="2BD31914"/>
    <w:rsid w:val="2BF41A27"/>
    <w:rsid w:val="2D44487D"/>
    <w:rsid w:val="2F367F9D"/>
    <w:rsid w:val="2F6C0A7C"/>
    <w:rsid w:val="300C0C43"/>
    <w:rsid w:val="304E06EF"/>
    <w:rsid w:val="31281BEF"/>
    <w:rsid w:val="31461A90"/>
    <w:rsid w:val="315C2820"/>
    <w:rsid w:val="31654516"/>
    <w:rsid w:val="31F02AE7"/>
    <w:rsid w:val="31F3012E"/>
    <w:rsid w:val="328827B0"/>
    <w:rsid w:val="32E520D4"/>
    <w:rsid w:val="334B6255"/>
    <w:rsid w:val="34702AFE"/>
    <w:rsid w:val="350632CA"/>
    <w:rsid w:val="36425060"/>
    <w:rsid w:val="370A4849"/>
    <w:rsid w:val="37732846"/>
    <w:rsid w:val="382559F5"/>
    <w:rsid w:val="3991779D"/>
    <w:rsid w:val="39C232FE"/>
    <w:rsid w:val="3A8B3CF2"/>
    <w:rsid w:val="3A977C30"/>
    <w:rsid w:val="3BCF3C77"/>
    <w:rsid w:val="3C252DEF"/>
    <w:rsid w:val="3CCA5D2F"/>
    <w:rsid w:val="3DB91832"/>
    <w:rsid w:val="3DC8266D"/>
    <w:rsid w:val="3EBA261E"/>
    <w:rsid w:val="3EC546C4"/>
    <w:rsid w:val="3FDBC407"/>
    <w:rsid w:val="42B27E58"/>
    <w:rsid w:val="435C3E32"/>
    <w:rsid w:val="43813C4D"/>
    <w:rsid w:val="43845ED8"/>
    <w:rsid w:val="43C86DA6"/>
    <w:rsid w:val="458465F3"/>
    <w:rsid w:val="46A54576"/>
    <w:rsid w:val="46A574CE"/>
    <w:rsid w:val="46DC6EA7"/>
    <w:rsid w:val="47B95717"/>
    <w:rsid w:val="47EA6774"/>
    <w:rsid w:val="48256404"/>
    <w:rsid w:val="49A3333F"/>
    <w:rsid w:val="49F31301"/>
    <w:rsid w:val="4AD210AA"/>
    <w:rsid w:val="4B6C0B8D"/>
    <w:rsid w:val="4BC2350C"/>
    <w:rsid w:val="4D4C1F0B"/>
    <w:rsid w:val="4DE504B4"/>
    <w:rsid w:val="50603001"/>
    <w:rsid w:val="511B4AE0"/>
    <w:rsid w:val="5125114F"/>
    <w:rsid w:val="519B023F"/>
    <w:rsid w:val="51A948F4"/>
    <w:rsid w:val="521D1CEF"/>
    <w:rsid w:val="528A64BE"/>
    <w:rsid w:val="52CF3AF4"/>
    <w:rsid w:val="52F612F1"/>
    <w:rsid w:val="535377BD"/>
    <w:rsid w:val="53D04318"/>
    <w:rsid w:val="54D65F92"/>
    <w:rsid w:val="550B7206"/>
    <w:rsid w:val="56613E82"/>
    <w:rsid w:val="570744EC"/>
    <w:rsid w:val="57AD1089"/>
    <w:rsid w:val="584463A0"/>
    <w:rsid w:val="58606010"/>
    <w:rsid w:val="59E24306"/>
    <w:rsid w:val="59F07CB6"/>
    <w:rsid w:val="5A937DC0"/>
    <w:rsid w:val="5AB50438"/>
    <w:rsid w:val="5CCE4284"/>
    <w:rsid w:val="5CDF022A"/>
    <w:rsid w:val="5D65371D"/>
    <w:rsid w:val="5E092110"/>
    <w:rsid w:val="5E8373E3"/>
    <w:rsid w:val="5EA44BF6"/>
    <w:rsid w:val="5EC0225C"/>
    <w:rsid w:val="5FDC3394"/>
    <w:rsid w:val="5FE734EB"/>
    <w:rsid w:val="6115519B"/>
    <w:rsid w:val="61B40824"/>
    <w:rsid w:val="624A2DC5"/>
    <w:rsid w:val="62E966CB"/>
    <w:rsid w:val="63382D47"/>
    <w:rsid w:val="64384A8D"/>
    <w:rsid w:val="6468693A"/>
    <w:rsid w:val="646A7DEB"/>
    <w:rsid w:val="647C7E56"/>
    <w:rsid w:val="661A29E3"/>
    <w:rsid w:val="6654448F"/>
    <w:rsid w:val="67347EC1"/>
    <w:rsid w:val="678458CC"/>
    <w:rsid w:val="67A545A9"/>
    <w:rsid w:val="67C344A8"/>
    <w:rsid w:val="69190791"/>
    <w:rsid w:val="69D04051"/>
    <w:rsid w:val="6B3E2CF1"/>
    <w:rsid w:val="6B776064"/>
    <w:rsid w:val="6CDA2312"/>
    <w:rsid w:val="6D201332"/>
    <w:rsid w:val="6D92106F"/>
    <w:rsid w:val="6D977B11"/>
    <w:rsid w:val="6D9F4601"/>
    <w:rsid w:val="6EC8527C"/>
    <w:rsid w:val="6F30171D"/>
    <w:rsid w:val="6FC14A0C"/>
    <w:rsid w:val="707B6D16"/>
    <w:rsid w:val="707C3A39"/>
    <w:rsid w:val="70987456"/>
    <w:rsid w:val="70BA6AF7"/>
    <w:rsid w:val="70BA713F"/>
    <w:rsid w:val="71163347"/>
    <w:rsid w:val="715C729F"/>
    <w:rsid w:val="72106E1A"/>
    <w:rsid w:val="726D30C4"/>
    <w:rsid w:val="72C35E68"/>
    <w:rsid w:val="73D13AE3"/>
    <w:rsid w:val="748F380A"/>
    <w:rsid w:val="749820E1"/>
    <w:rsid w:val="751E1C14"/>
    <w:rsid w:val="755854E5"/>
    <w:rsid w:val="76290B47"/>
    <w:rsid w:val="7660556C"/>
    <w:rsid w:val="7828553C"/>
    <w:rsid w:val="791F69C8"/>
    <w:rsid w:val="79AF51F4"/>
    <w:rsid w:val="79CE4AFE"/>
    <w:rsid w:val="79E53ABC"/>
    <w:rsid w:val="79F53896"/>
    <w:rsid w:val="7A4C0404"/>
    <w:rsid w:val="7B2F5DC4"/>
    <w:rsid w:val="7B9854E0"/>
    <w:rsid w:val="7BE155CD"/>
    <w:rsid w:val="7C8214A1"/>
    <w:rsid w:val="7C9E0F90"/>
    <w:rsid w:val="7D8B6DF0"/>
    <w:rsid w:val="7DE322EA"/>
    <w:rsid w:val="7DFA3CB9"/>
    <w:rsid w:val="7E97080F"/>
    <w:rsid w:val="7F024F55"/>
    <w:rsid w:val="7F813BB5"/>
    <w:rsid w:val="7FB64623"/>
    <w:rsid w:val="FF9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594" w:lineRule="exact"/>
      <w:ind w:firstLine="200" w:firstLineChars="200"/>
      <w:outlineLvl w:val="1"/>
    </w:pPr>
    <w:rPr>
      <w:rFonts w:ascii="Arial" w:hAnsi="Arial" w:eastAsia="方正楷体_GBK" w:cs="Times New Roman"/>
      <w:sz w:val="32"/>
      <w:lang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4">
    <w:name w:val="Body Text"/>
    <w:basedOn w:val="1"/>
    <w:next w:val="5"/>
    <w:qFormat/>
    <w:uiPriority w:val="1"/>
    <w:pPr>
      <w:autoSpaceDE w:val="0"/>
      <w:autoSpaceDN w:val="0"/>
      <w:spacing w:before="99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5">
    <w:name w:val="toc 2"/>
    <w:basedOn w:val="1"/>
    <w:next w:val="1"/>
    <w:unhideWhenUsed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仿宋_GB2312" w:hAnsi="等线" w:eastAsia="楷体_GB2312" w:cs="Times New Roman"/>
      <w:kern w:val="2"/>
      <w:sz w:val="32"/>
    </w:rPr>
  </w:style>
  <w:style w:type="paragraph" w:styleId="6">
    <w:name w:val="Body Text Indent 2"/>
    <w:next w:val="1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cs="Courier New"/>
      <w:kern w:val="0"/>
      <w:sz w:val="20"/>
      <w:szCs w:val="20"/>
      <w:lang w:bidi="ar-SA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方正仿宋_GBK" w:cs="Arial"/>
      <w:b/>
      <w:bCs/>
    </w:rPr>
  </w:style>
  <w:style w:type="paragraph" w:styleId="11">
    <w:name w:val="Body Text First Indent"/>
    <w:basedOn w:val="4"/>
    <w:semiHidden/>
    <w:unhideWhenUsed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UserStyle_41"/>
    <w:basedOn w:val="1"/>
    <w:next w:val="1"/>
    <w:qFormat/>
    <w:uiPriority w:val="0"/>
    <w:pPr>
      <w:ind w:left="1680"/>
    </w:pPr>
  </w:style>
  <w:style w:type="paragraph" w:customStyle="1" w:styleId="16">
    <w:name w:val="松哥样式"/>
    <w:basedOn w:val="1"/>
    <w:qFormat/>
    <w:uiPriority w:val="0"/>
    <w:pPr>
      <w:adjustRightInd w:val="0"/>
      <w:snapToGrid w:val="0"/>
      <w:spacing w:line="579" w:lineRule="exact"/>
    </w:pPr>
    <w:rPr>
      <w:szCs w:val="28"/>
    </w:rPr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8">
    <w:name w:val="BodyText"/>
    <w:qFormat/>
    <w:uiPriority w:val="0"/>
    <w:pPr>
      <w:widowControl w:val="0"/>
      <w:spacing w:before="100" w:beforeAutospacing="1"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1"/>
    <w:next w:val="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页脚1"/>
    <w:basedOn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1250</Words>
  <Characters>1360</Characters>
  <Lines>0</Lines>
  <Paragraphs>0</Paragraphs>
  <TotalTime>0</TotalTime>
  <ScaleCrop>false</ScaleCrop>
  <LinksUpToDate>false</LinksUpToDate>
  <CharactersWithSpaces>1366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2024-08-30T10:30:00Z</dcterms:created>
  <dc:creator>ASUS</dc:creator>
  <cp:lastModifiedBy>ASUS</cp:lastModifiedBy>
  <cp:lastPrinted>2025-04-09T02:52:00Z</cp:lastPrinted>
  <dcterms:modified xsi:type="dcterms:W3CDTF">2025-06-10T07:04:26Z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4341540291414107ADEE8A7822217E1A_13</vt:lpwstr>
  </property>
  <property fmtid="{D5CDD505-2E9C-101B-9397-08002B2CF9AE}" pid="4" name="KSOTemplateDocerSaveRecord">
    <vt:lpwstr>eyJoZGlkIjoiMDBkMzg0ZjVkZjA1ZDJiZTRiNzYxZDI0OWRmYzUzNDIiLCJ1c2VySWQiOiIyNzgwMzI1MjQifQ==</vt:lpwstr>
  </property>
</Properties>
</file>