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重庆市渝中区七星岗街道综合行政执法大队</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一、单位基本情况</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负责辖区范围内的道路、街面和居住区公共场所的监察执法并配合区有关行政管理部门做好执法工作</w:t>
      </w:r>
      <w:r>
        <w:rPr>
          <w:rStyle w:val="14"/>
          <w:rFonts w:hint="default" w:ascii="Times New Roman" w:hAnsi="Times New Roman" w:eastAsia="方正仿宋_GBK" w:cs="Times New Roman"/>
          <w:b w:val="0"/>
          <w:bCs/>
          <w:sz w:val="32"/>
          <w:szCs w:val="32"/>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4"/>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公益一类事业单位、正科级事业单位，经费为财政全额拨款。事业编制7名，其中，主任1名，副主任1名。</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二、单位决算收支情况说明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Style w:val="14"/>
          <w:rFonts w:hint="default" w:ascii="Times New Roman" w:hAnsi="Times New Roman" w:eastAsia="方正仿宋_GBK" w:cs="Times New Roman"/>
          <w:sz w:val="32"/>
          <w:szCs w:val="32"/>
          <w:shd w:val="clear" w:color="auto" w:fill="FFFFFF"/>
        </w:rPr>
        <w:t>1.总体情况。</w:t>
      </w:r>
      <w:r>
        <w:rPr>
          <w:rStyle w:val="14"/>
          <w:rFonts w:hint="default" w:ascii="Times New Roman" w:hAnsi="Times New Roman" w:eastAsia="方正仿宋_GBK" w:cs="Times New Roman"/>
          <w:b w:val="0"/>
          <w:bCs/>
          <w:sz w:val="32"/>
          <w:szCs w:val="32"/>
          <w:shd w:val="clear" w:color="auto" w:fill="FFFFFF"/>
        </w:rPr>
        <w:t>2024年度收入总计130.61万元，支出总计130.61万元。收、支与2023年度相比，增加1</w:t>
      </w:r>
      <w:r>
        <w:rPr>
          <w:rFonts w:hint="default" w:ascii="Times New Roman" w:hAnsi="Times New Roman" w:eastAsia="方正仿宋_GBK" w:cs="Times New Roman"/>
          <w:b w:val="0"/>
          <w:bCs/>
          <w:sz w:val="32"/>
          <w:szCs w:val="32"/>
          <w:shd w:val="clear" w:color="auto" w:fill="FFFFFF"/>
        </w:rPr>
        <w:t>30.61</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2024年度收入合计130.61万元，与2023年度相比，增加130.61万元，增长100.0%，主要原因是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14"/>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2024年度财政拨款收、支总计130.61万元。与2023年相比，财政拨款收、支总计各增加130.61万元，增长100.0%。主要原因是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万元，与2023年度相比，增加130.61万元，增长100.0%。主要原因是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较年初预算数增加130.61万元，增长100.0%。主要原因是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102.81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78.72</w:t>
      </w:r>
      <w:r>
        <w:rPr>
          <w:rFonts w:hint="default" w:ascii="Times New Roman" w:hAnsi="Times New Roman" w:eastAsia="方正仿宋_GBK" w:cs="Times New Roman"/>
          <w:sz w:val="32"/>
          <w:szCs w:val="32"/>
          <w:shd w:val="clear" w:color="auto" w:fill="FFFFFF"/>
        </w:rPr>
        <w:t>%，较年初预算数增加102.81万元，增长100.0%，主要原因是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14.11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10.80</w:t>
      </w:r>
      <w:r>
        <w:rPr>
          <w:rFonts w:hint="default" w:ascii="Times New Roman" w:hAnsi="Times New Roman" w:eastAsia="方正仿宋_GBK" w:cs="Times New Roman"/>
          <w:sz w:val="32"/>
          <w:szCs w:val="32"/>
          <w:shd w:val="clear" w:color="auto" w:fill="FFFFFF"/>
        </w:rPr>
        <w:t>%，较年初预算数增加14.11万元，增长100.0%，主要原因是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3.53</w:t>
      </w:r>
      <w:r>
        <w:rPr>
          <w:rFonts w:hint="default" w:ascii="Times New Roman" w:hAnsi="Times New Roman" w:eastAsia="方正仿宋_GBK" w:cs="Times New Roman"/>
          <w:sz w:val="32"/>
          <w:szCs w:val="32"/>
          <w:shd w:val="clear" w:color="auto" w:fill="FFFFFF"/>
        </w:rPr>
        <w:t>%，较年初预算数增加4.61万元，增长100.0%，主要原因是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住房保障支出9.07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6.95</w:t>
      </w:r>
      <w:r>
        <w:rPr>
          <w:rFonts w:hint="default" w:ascii="Times New Roman" w:hAnsi="Times New Roman" w:eastAsia="方正仿宋_GBK" w:cs="Times New Roman"/>
          <w:sz w:val="32"/>
          <w:szCs w:val="32"/>
          <w:shd w:val="clear" w:color="auto" w:fill="FFFFFF"/>
        </w:rPr>
        <w:t>%，较年初预算数增加9.07万元，增长100.0%，主要原因是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（四）一般公共预算财政拨款基本支出决算情况说明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130.61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107.02</w:t>
      </w:r>
      <w:r>
        <w:rPr>
          <w:rFonts w:hint="default" w:ascii="Times New Roman" w:hAnsi="Times New Roman" w:eastAsia="方正仿宋_GBK" w:cs="Times New Roman"/>
          <w:sz w:val="32"/>
          <w:szCs w:val="32"/>
          <w:shd w:val="clear" w:color="auto" w:fill="FFFFFF"/>
        </w:rPr>
        <w:t>万元，与2023年度相比，增加107.02万元，增长100.0%，主要原因是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23.58</w:t>
      </w:r>
      <w:r>
        <w:rPr>
          <w:rFonts w:hint="default" w:ascii="Times New Roman" w:hAnsi="Times New Roman" w:eastAsia="方正仿宋_GBK" w:cs="Times New Roman"/>
          <w:sz w:val="32"/>
          <w:szCs w:val="32"/>
          <w:shd w:val="clear" w:color="auto" w:fill="FFFFFF"/>
        </w:rPr>
        <w:t>万元，与2023年度相比，增加23.58万元，增长100.0%，主要原因是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政府性基金预算财政拨款年</w:t>
      </w:r>
      <w:r>
        <w:rPr>
          <w:rFonts w:hint="default" w:ascii="Times New Roman" w:hAnsi="Times New Roman" w:eastAsia="方正仿宋_GBK" w:cs="Times New Roman"/>
          <w:sz w:val="32"/>
          <w:szCs w:val="32"/>
          <w:shd w:val="clear" w:color="auto" w:fill="FFFFFF"/>
          <w:lang w:eastAsia="zh-CN"/>
        </w:rPr>
        <w:t>支出。</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w:t>
      </w:r>
      <w:r>
        <w:rPr>
          <w:rFonts w:hint="eastAsia" w:ascii="Times New Roman" w:hAnsi="Times New Roman" w:eastAsia="方正仿宋_GBK" w:cs="Times New Roman"/>
          <w:sz w:val="32"/>
          <w:szCs w:val="32"/>
          <w:shd w:val="clear" w:color="auto" w:fill="FFFFFF"/>
          <w:lang w:eastAsia="zh-CN"/>
        </w:rPr>
        <w:t>拨款</w:t>
      </w:r>
      <w:bookmarkStart w:id="0" w:name="_GoBack"/>
      <w:bookmarkEnd w:id="0"/>
      <w:r>
        <w:rPr>
          <w:rFonts w:hint="default" w:ascii="Times New Roman" w:hAnsi="Times New Roman" w:eastAsia="方正仿宋_GBK" w:cs="Times New Roman"/>
          <w:sz w:val="32"/>
          <w:szCs w:val="32"/>
          <w:shd w:val="clear" w:color="auto" w:fill="FFFFFF"/>
          <w:lang w:eastAsia="zh-CN"/>
        </w:rPr>
        <w:t>支出。</w:t>
      </w:r>
    </w:p>
    <w:p>
      <w:pPr>
        <w:pStyle w:val="9"/>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财政拨款“三公”经费情况说明</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textAlignment w:val="auto"/>
        <w:rPr>
          <w:rFonts w:hint="default" w:ascii="Times New Roman" w:hAnsi="Times New Roman" w:eastAsia="方正仿宋_GBK" w:cs="Times New Roman"/>
          <w:sz w:val="32"/>
          <w:szCs w:val="32"/>
          <w:shd w:val="clear" w:color="auto" w:fill="FFFFFF"/>
          <w:lang w:val="en-US" w:eastAsia="zh-CN"/>
        </w:rPr>
      </w:pPr>
      <w:r>
        <w:rPr>
          <w:rStyle w:val="14"/>
          <w:rFonts w:hint="default" w:ascii="Times New Roman" w:hAnsi="Times New Roman" w:eastAsia="方正仿宋_GBK" w:cs="Times New Roman"/>
          <w:sz w:val="32"/>
          <w:szCs w:val="32"/>
          <w:shd w:val="clear" w:color="auto" w:fill="FFFFFF"/>
          <w:lang w:val="en-US" w:eastAsia="zh-CN"/>
        </w:rPr>
        <w:t xml:space="preserve">   </w:t>
      </w:r>
      <w:r>
        <w:rPr>
          <w:rStyle w:val="14"/>
          <w:rFonts w:hint="default" w:ascii="Times New Roman" w:hAnsi="Times New Roman" w:eastAsia="方正仿宋_GBK" w:cs="Times New Roman"/>
          <w:b w:val="0"/>
          <w:bCs/>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val="en-US" w:eastAsia="zh-CN"/>
        </w:rPr>
        <w:t>我单位属于街道下属事业单位，财政未保障我单位“三公”经费。</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xml:space="preserve"> （一）财政拨款会议费和培训费情况说明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及培训费支出，也无上年数。</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Style w:val="14"/>
          <w:rFonts w:hint="default" w:ascii="方正楷体_GBK" w:hAnsi="方正楷体_GBK" w:eastAsia="方正楷体_GBK" w:cs="方正楷体_GBK"/>
          <w:sz w:val="32"/>
          <w:szCs w:val="32"/>
          <w:shd w:val="clear" w:color="auto" w:fill="FFFFFF"/>
          <w:lang w:val="en-US" w:eastAsia="zh-CN" w:bidi="ar-SA"/>
        </w:rPr>
      </w:pPr>
      <w:r>
        <w:rPr>
          <w:rStyle w:val="14"/>
          <w:rFonts w:hint="default" w:ascii="方正楷体_GBK" w:hAnsi="方正楷体_GBK" w:eastAsia="方正楷体_GBK" w:cs="方正楷体_GBK"/>
          <w:sz w:val="32"/>
          <w:szCs w:val="32"/>
          <w:shd w:val="clear" w:color="auto" w:fill="FFFFFF"/>
          <w:lang w:val="en-US" w:eastAsia="zh-CN" w:bidi="ar-SA"/>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Style w:val="14"/>
          <w:rFonts w:hint="default" w:ascii="方正楷体_GBK" w:hAnsi="方正楷体_GBK" w:eastAsia="方正楷体_GBK" w:cs="方正楷体_GBK"/>
          <w:sz w:val="32"/>
          <w:szCs w:val="32"/>
          <w:shd w:val="clear" w:color="auto" w:fill="FFFFFF"/>
          <w:lang w:val="en-US" w:eastAsia="zh-CN" w:bidi="ar-SA"/>
        </w:rPr>
      </w:pPr>
      <w:r>
        <w:rPr>
          <w:rStyle w:val="14"/>
          <w:rFonts w:hint="default" w:ascii="方正楷体_GBK" w:hAnsi="方正楷体_GBK" w:eastAsia="方正楷体_GBK" w:cs="方正楷体_GBK"/>
          <w:sz w:val="32"/>
          <w:szCs w:val="32"/>
          <w:shd w:val="clear" w:color="auto" w:fill="FFFFFF"/>
          <w:lang w:val="en-US" w:eastAsia="zh-CN" w:bidi="ar-SA"/>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sz w:val="32"/>
          <w:szCs w:val="32"/>
          <w:shd w:val="clear" w:color="auto" w:fill="FFFFFF"/>
        </w:rPr>
      </w:pPr>
      <w:r>
        <w:rPr>
          <w:rStyle w:val="14"/>
          <w:rFonts w:hint="eastAsia" w:ascii="方正黑体_GBK" w:hAnsi="方正黑体_GBK" w:eastAsia="方正黑体_GBK" w:cs="方正黑体_GBK"/>
          <w:sz w:val="32"/>
          <w:szCs w:val="32"/>
          <w:shd w:val="clear" w:color="auto" w:fill="FFFFFF"/>
        </w:rPr>
        <w:t>五、2024年度预算绩效管理情况说明</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方正楷体_GBK" w:hAnsi="方正楷体_GBK" w:eastAsia="方正楷体_GBK" w:cs="方正楷体_GBK"/>
          <w:sz w:val="32"/>
          <w:szCs w:val="32"/>
          <w:shd w:val="clear" w:color="auto" w:fill="FFFFFF"/>
        </w:rPr>
      </w:pPr>
      <w:r>
        <w:rPr>
          <w:rStyle w:val="14"/>
          <w:rFonts w:hint="default" w:ascii="方正楷体_GBK" w:hAnsi="方正楷体_GBK" w:eastAsia="方正楷体_GBK" w:cs="方正楷体_GBK"/>
          <w:sz w:val="32"/>
          <w:szCs w:val="32"/>
          <w:shd w:val="clear" w:color="auto" w:fill="FFFFFF"/>
        </w:rPr>
        <w:t>（一）单位自评情况</w:t>
      </w:r>
    </w:p>
    <w:p>
      <w:pPr>
        <w:pStyle w:val="20"/>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Style w:val="14"/>
          <w:rFonts w:hint="default" w:ascii="方正黑体_GBK" w:hAnsi="方正黑体_GBK" w:eastAsia="方正黑体_GBK" w:cs="方正黑体_GBK"/>
          <w:sz w:val="32"/>
          <w:szCs w:val="32"/>
          <w:shd w:val="clear" w:color="auto" w:fill="FFFFFF"/>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无项目支出，故无项目绩效自评。</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六、专业名词解释</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default" w:ascii="方正楷体_GBK" w:hAnsi="方正楷体_GBK" w:eastAsia="方正楷体_GBK" w:cs="方正楷体_GBK"/>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Style w:val="14"/>
          <w:rFonts w:hint="eastAsia" w:ascii="方正楷体_GBK" w:hAnsi="方正楷体_GBK" w:eastAsia="方正楷体_GBK" w:cs="方正楷体_GBK"/>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default" w:ascii="方正黑体_GBK" w:hAnsi="方正黑体_GBK" w:eastAsia="方正黑体_GBK" w:cs="方正黑体_GBK"/>
          <w:sz w:val="32"/>
          <w:szCs w:val="32"/>
          <w:shd w:val="clear" w:color="auto" w:fill="FFFFFF"/>
        </w:rPr>
      </w:pPr>
      <w:r>
        <w:rPr>
          <w:rStyle w:val="14"/>
          <w:rFonts w:hint="default" w:ascii="方正黑体_GBK" w:hAnsi="方正黑体_GBK" w:eastAsia="方正黑体_GBK" w:cs="方正黑体_GBK"/>
          <w:sz w:val="32"/>
          <w:szCs w:val="32"/>
          <w:shd w:val="clear" w:color="auto" w:fill="FFFFFF"/>
        </w:rPr>
        <w:t>七、决算公开联系方式及信息反馈渠道</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pPr>
        <w:pStyle w:val="16"/>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sz w:val="18"/>
          <w:szCs w:val="18"/>
        </w:rPr>
      </w:pPr>
      <w:r>
        <w:rPr>
          <w:rFonts w:hint="default" w:ascii="Times New Roman" w:hAnsi="Times New Roman" w:eastAsia="方正仿宋_GBK" w:cs="Times New Roman"/>
          <w:color w:val="auto"/>
          <w:sz w:val="32"/>
          <w:szCs w:val="32"/>
          <w:shd w:val="clear" w:color="auto" w:fill="FFFFFF"/>
          <w:lang w:eastAsia="zh-CN"/>
        </w:rPr>
        <w:t>陈丽</w:t>
      </w:r>
      <w:r>
        <w:rPr>
          <w:rFonts w:hint="default" w:ascii="Times New Roman" w:hAnsi="Times New Roman" w:eastAsia="方正仿宋_GBK" w:cs="Times New Roman"/>
          <w:color w:val="auto"/>
          <w:sz w:val="32"/>
          <w:szCs w:val="32"/>
          <w:shd w:val="clear" w:color="auto" w:fill="FFFFFF"/>
          <w:lang w:val="en-US" w:eastAsia="zh-CN"/>
        </w:rPr>
        <w:t xml:space="preserve">  023-6370183</w:t>
      </w:r>
      <w:r>
        <w:rPr>
          <w:rFonts w:hint="eastAsia" w:ascii="Times New Roman" w:hAnsi="Times New Roman" w:eastAsia="方正仿宋_GBK" w:cs="Times New Roman"/>
          <w:color w:val="auto"/>
          <w:sz w:val="32"/>
          <w:szCs w:val="32"/>
          <w:shd w:val="clear" w:color="auto" w:fill="FFFFFF"/>
          <w:lang w:val="en-US" w:eastAsia="zh-CN"/>
        </w:rPr>
        <w:t>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55C19"/>
    <w:multiLevelType w:val="singleLevel"/>
    <w:tmpl w:val="D2D55C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6AB46BE"/>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E31A2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604EF3"/>
    <w:rsid w:val="469D6AD4"/>
    <w:rsid w:val="471E6C84"/>
    <w:rsid w:val="4748792B"/>
    <w:rsid w:val="475D719D"/>
    <w:rsid w:val="47674801"/>
    <w:rsid w:val="48225EF7"/>
    <w:rsid w:val="485F1D95"/>
    <w:rsid w:val="488F422B"/>
    <w:rsid w:val="48E36915"/>
    <w:rsid w:val="48EB6572"/>
    <w:rsid w:val="495C4A24"/>
    <w:rsid w:val="497135DF"/>
    <w:rsid w:val="4A263DF2"/>
    <w:rsid w:val="4A2F278B"/>
    <w:rsid w:val="4A6F6675"/>
    <w:rsid w:val="4AF24F01"/>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464BCF"/>
    <w:rsid w:val="59F40378"/>
    <w:rsid w:val="5A3B59D6"/>
    <w:rsid w:val="5AD134D8"/>
    <w:rsid w:val="5BC52C08"/>
    <w:rsid w:val="5BF41F67"/>
    <w:rsid w:val="5C263CE4"/>
    <w:rsid w:val="5C5D2777"/>
    <w:rsid w:val="5CF66BF3"/>
    <w:rsid w:val="5D1008B0"/>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D37162"/>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094E52"/>
    <w:rsid w:val="6D903FF5"/>
    <w:rsid w:val="6DA7767F"/>
    <w:rsid w:val="6DA955B8"/>
    <w:rsid w:val="6DE346AB"/>
    <w:rsid w:val="6DE5391A"/>
    <w:rsid w:val="6EFD1324"/>
    <w:rsid w:val="6F5A53AC"/>
    <w:rsid w:val="6FAC003D"/>
    <w:rsid w:val="6FD926BF"/>
    <w:rsid w:val="6FE55E12"/>
    <w:rsid w:val="6FFB2E76"/>
    <w:rsid w:val="708F6F7F"/>
    <w:rsid w:val="70D94BD3"/>
    <w:rsid w:val="71574775"/>
    <w:rsid w:val="717C5832"/>
    <w:rsid w:val="71C34D91"/>
    <w:rsid w:val="72DB435C"/>
    <w:rsid w:val="72E2613A"/>
    <w:rsid w:val="72F771F4"/>
    <w:rsid w:val="73934AD2"/>
    <w:rsid w:val="747222A6"/>
    <w:rsid w:val="750837F0"/>
    <w:rsid w:val="754758CF"/>
    <w:rsid w:val="75595ECD"/>
    <w:rsid w:val="764F62AB"/>
    <w:rsid w:val="765C45EC"/>
    <w:rsid w:val="768A7619"/>
    <w:rsid w:val="76BD23AB"/>
    <w:rsid w:val="772E1EBA"/>
    <w:rsid w:val="781926BC"/>
    <w:rsid w:val="796D60A4"/>
    <w:rsid w:val="799F38A8"/>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paragraph" w:styleId="10">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3227</Words>
  <Characters>3663</Characters>
  <Lines>186</Lines>
  <Paragraphs>52</Paragraphs>
  <TotalTime>8</TotalTime>
  <ScaleCrop>false</ScaleCrop>
  <LinksUpToDate>false</LinksUpToDate>
  <CharactersWithSpaces>3673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2025-12-15T07:41:48Z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C2B3B94C3EA540A3A40B3E0D35CF1F73</vt:lpwstr>
  </property>
  <property fmtid="{D5CDD505-2E9C-101B-9397-08002B2CF9AE}" pid="4" name="KSOTemplateDocerSaveRecord">
    <vt:lpwstr>eyJoZGlkIjoiMDUwMjYyMTAwZTM5NTcxOGVhNzI3YWZjMDRhMjZkZDEifQ==</vt:lpwstr>
  </property>
</Properties>
</file>