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重庆市渝中区七星岗街道产业发展服务中心</w:t>
      </w:r>
    </w:p>
    <w:p>
      <w:pPr>
        <w:pStyle w:val="7"/>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2024年度决算公开说明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Times New Roman" w:hAnsi="Times New Roman" w:eastAsia="方正小标宋_GBK" w:cs="Times New Roman"/>
          <w:sz w:val="44"/>
          <w:szCs w:val="44"/>
          <w:shd w:val="clear" w:color="auto" w:fill="FFFFFF"/>
        </w:rPr>
      </w:pP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一、单位基本情况</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（一）职能职责</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仿宋_GBK" w:cs="Times New Roman"/>
          <w:b w:val="0"/>
          <w:bCs/>
          <w:sz w:val="32"/>
          <w:szCs w:val="32"/>
          <w:shd w:val="clear" w:color="auto" w:fill="FFFFFF"/>
          <w:lang w:val="en-US" w:eastAsia="zh-CN"/>
        </w:rPr>
      </w:pPr>
      <w:r>
        <w:rPr>
          <w:rStyle w:val="11"/>
          <w:rFonts w:hint="default" w:ascii="Times New Roman" w:hAnsi="Times New Roman" w:eastAsia="方正仿宋_GBK" w:cs="Times New Roman"/>
          <w:b w:val="0"/>
          <w:bCs/>
          <w:sz w:val="32"/>
          <w:szCs w:val="32"/>
          <w:shd w:val="clear" w:color="auto" w:fill="FFFFFF"/>
          <w:lang w:val="en-US" w:eastAsia="zh-CN"/>
        </w:rPr>
        <w:t>负责开展企业服务、咨询、走访等具体工作，摸排楼宇、企业实际情况。配合做好相关普查、统计、协税护税等工作。负责规划建设、生态环境保护、市容管理、物业管理等相关事务性工作。承担街道党工委、办事处交办的其他任务。</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（二）机构设置</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Style w:val="11"/>
          <w:rFonts w:hint="default" w:ascii="Times New Roman" w:hAnsi="Times New Roman" w:eastAsia="方正仿宋_GBK" w:cs="Times New Roman"/>
          <w:b w:val="0"/>
          <w:bCs/>
          <w:sz w:val="32"/>
          <w:szCs w:val="32"/>
          <w:shd w:val="clear" w:color="auto" w:fill="FFFFFF"/>
          <w:lang w:val="en-US" w:eastAsia="zh-CN"/>
        </w:rPr>
      </w:pPr>
      <w:r>
        <w:rPr>
          <w:rStyle w:val="11"/>
          <w:rFonts w:hint="default" w:ascii="Times New Roman" w:hAnsi="Times New Roman" w:eastAsia="方正仿宋_GBK" w:cs="Times New Roman"/>
          <w:b w:val="0"/>
          <w:bCs/>
          <w:sz w:val="32"/>
          <w:szCs w:val="32"/>
          <w:shd w:val="clear" w:color="auto" w:fill="FFFFFF"/>
          <w:lang w:eastAsia="zh-CN"/>
        </w:rPr>
        <w:t>本单位为财政全额拨款公益一类事业单位，编制</w:t>
      </w:r>
      <w:r>
        <w:rPr>
          <w:rStyle w:val="11"/>
          <w:rFonts w:hint="default" w:ascii="Times New Roman" w:hAnsi="Times New Roman" w:eastAsia="方正仿宋_GBK" w:cs="Times New Roman"/>
          <w:b w:val="0"/>
          <w:bCs/>
          <w:sz w:val="32"/>
          <w:szCs w:val="32"/>
          <w:shd w:val="clear" w:color="auto" w:fill="FFFFFF"/>
          <w:lang w:val="en-US" w:eastAsia="zh-CN"/>
        </w:rPr>
        <w:t>7名</w:t>
      </w:r>
      <w:r>
        <w:rPr>
          <w:rStyle w:val="11"/>
          <w:rFonts w:hint="default" w:ascii="Times New Roman" w:hAnsi="Times New Roman" w:eastAsia="方正仿宋_GBK" w:cs="Times New Roman"/>
          <w:b w:val="0"/>
          <w:bCs/>
          <w:sz w:val="32"/>
          <w:szCs w:val="32"/>
          <w:shd w:val="clear" w:color="auto" w:fill="FFFFFF"/>
        </w:rPr>
        <w:t>。</w:t>
      </w:r>
      <w:r>
        <w:rPr>
          <w:rStyle w:val="11"/>
          <w:rFonts w:hint="default" w:ascii="Times New Roman" w:hAnsi="Times New Roman" w:eastAsia="方正仿宋_GBK" w:cs="Times New Roman"/>
          <w:b w:val="0"/>
          <w:bCs/>
          <w:sz w:val="32"/>
          <w:szCs w:val="32"/>
          <w:shd w:val="clear" w:color="auto" w:fill="FFFFFF"/>
          <w:lang w:eastAsia="zh-CN"/>
        </w:rPr>
        <w:t>其中，主任</w:t>
      </w:r>
      <w:r>
        <w:rPr>
          <w:rStyle w:val="11"/>
          <w:rFonts w:hint="default" w:ascii="Times New Roman" w:hAnsi="Times New Roman" w:eastAsia="方正仿宋_GBK" w:cs="Times New Roman"/>
          <w:b w:val="0"/>
          <w:bCs/>
          <w:sz w:val="32"/>
          <w:szCs w:val="32"/>
          <w:shd w:val="clear" w:color="auto" w:fill="FFFFFF"/>
          <w:lang w:val="en-US" w:eastAsia="zh-CN"/>
        </w:rPr>
        <w:t>1名，副主任1名。</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二、单位决算收支情况说明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（一）收入支出决算总体情况说明。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1.总体情况。2024年度收入总计77.36万元，支出总计77.36万元。收、支与2023年度相比，增加77.36万元，增长100.0%，主要原因是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2.收入情况。2024年度收入合计77.36万元，与2023年度相比，增加77.36万元，增长100.0%，主要原因是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其中：财政拨款收入77.36万元，占100.00%；事业收入0.00万元，占0.00%；经营收入0.00万元，占0.00%；其他收入0.00万元，占0.00%。此外，使用非财政拨款结余和专用结余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rPr>
        <w:t>2024年度支出合计</w:t>
      </w:r>
      <w:r>
        <w:rPr>
          <w:rFonts w:hint="default" w:ascii="Times New Roman" w:hAnsi="Times New Roman" w:eastAsia="方正仿宋_GBK" w:cs="Times New Roman"/>
          <w:sz w:val="32"/>
          <w:szCs w:val="32"/>
        </w:rPr>
        <w:t>77.36</w:t>
      </w:r>
      <w:r>
        <w:rPr>
          <w:rFonts w:hint="default" w:ascii="Times New Roman" w:hAnsi="Times New Roman" w:eastAsia="方正仿宋_GBK" w:cs="Times New Roman"/>
          <w:sz w:val="32"/>
          <w:szCs w:val="32"/>
          <w:shd w:val="clear" w:color="auto" w:fill="FFFFFF"/>
        </w:rPr>
        <w:t>万元，与2023年度相比，增加77.36万元，增长100.0%，主要原因是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77.36</w:t>
      </w:r>
      <w:r>
        <w:rPr>
          <w:rFonts w:hint="default" w:ascii="Times New Roman" w:hAnsi="Times New Roman" w:eastAsia="方正仿宋_GBK" w:cs="Times New Roman"/>
          <w:sz w:val="32"/>
          <w:szCs w:val="32"/>
          <w:shd w:val="clear" w:color="auto" w:fill="FFFFFF"/>
        </w:rPr>
        <w:t>万元，占100.00%；项目支出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lang w:eastAsia="zh-CN"/>
        </w:rPr>
      </w:pPr>
      <w:r>
        <w:rPr>
          <w:rStyle w:val="11"/>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rPr>
        <w:t>2024年度年末结转和结余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sz w:val="32"/>
          <w:szCs w:val="32"/>
          <w:shd w:val="clear" w:color="auto" w:fill="FFFFFF"/>
          <w:lang w:eastAsia="zh-CN"/>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（二）财政拨款收入支出决算总体情况说明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2024年度财政拨款收、支总计77.36万元。与2023年相比，财政拨款收、支总计各增加77.36万元，增长100.0%。主要原因是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（三）一般公共预算财政拨款收入支出决算情况说明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w:t>
      </w:r>
      <w:r>
        <w:rPr>
          <w:rFonts w:hint="default" w:ascii="Times New Roman" w:hAnsi="Times New Roman" w:eastAsia="方正仿宋_GBK" w:cs="Times New Roman"/>
          <w:sz w:val="32"/>
          <w:szCs w:val="32"/>
        </w:rPr>
        <w:t>77.36</w:t>
      </w:r>
      <w:r>
        <w:rPr>
          <w:rFonts w:hint="default" w:ascii="Times New Roman" w:hAnsi="Times New Roman" w:eastAsia="方正仿宋_GBK" w:cs="Times New Roman"/>
          <w:sz w:val="32"/>
          <w:szCs w:val="32"/>
          <w:shd w:val="clear" w:color="auto" w:fill="FFFFFF"/>
        </w:rPr>
        <w:t>万元，与2023年度相比，增加77.36万元，增长100.0%。主要原因是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较年初预算数增加77.36万元，增长100.0%。主要原因是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w:t>
      </w:r>
      <w:r>
        <w:rPr>
          <w:rFonts w:hint="default" w:ascii="Times New Roman" w:hAnsi="Times New Roman" w:eastAsia="方正仿宋_GBK" w:cs="Times New Roman"/>
          <w:sz w:val="32"/>
          <w:szCs w:val="32"/>
        </w:rPr>
        <w:t>77.36</w:t>
      </w:r>
      <w:r>
        <w:rPr>
          <w:rFonts w:hint="default" w:ascii="Times New Roman" w:hAnsi="Times New Roman" w:eastAsia="方正仿宋_GBK" w:cs="Times New Roman"/>
          <w:sz w:val="32"/>
          <w:szCs w:val="32"/>
          <w:shd w:val="clear" w:color="auto" w:fill="FFFFFF"/>
        </w:rPr>
        <w:t>万元，与2023年度相比，增加77.36万元，增长100.0%。主要原因是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较年初预算数增加77.36万元，增长100.0%。主要原因是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eastAsia="zh-CN"/>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w:t>
      </w:r>
      <w:r>
        <w:rPr>
          <w:rFonts w:hint="default" w:ascii="Times New Roman" w:hAnsi="Times New Roman" w:eastAsia="方正仿宋_GBK" w:cs="Times New Roman"/>
          <w:sz w:val="32"/>
          <w:szCs w:val="32"/>
          <w:shd w:val="clear" w:color="auto" w:fill="FFFFFF"/>
          <w:lang w:eastAsia="zh-CN"/>
        </w:rPr>
        <w:t>。</w:t>
      </w:r>
      <w:bookmarkStart w:id="0" w:name="_GoBack"/>
      <w:bookmarkEnd w:id="0"/>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本单位2024年度一般公共预算财政拨款支出主要用于以下几个方面：</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59.12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76.43</w:t>
      </w:r>
      <w:r>
        <w:rPr>
          <w:rFonts w:hint="default" w:ascii="Times New Roman" w:hAnsi="Times New Roman" w:eastAsia="方正仿宋_GBK" w:cs="Times New Roman"/>
          <w:sz w:val="32"/>
          <w:szCs w:val="32"/>
          <w:shd w:val="clear" w:color="auto" w:fill="FFFFFF"/>
        </w:rPr>
        <w:t>%，较年初预算数增加59.12万元，增长100.0%，主要原因是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（8）社会保障与就业支出</w:t>
      </w:r>
      <w:r>
        <w:rPr>
          <w:rFonts w:hint="default" w:ascii="Times New Roman" w:hAnsi="Times New Roman" w:eastAsia="方正仿宋_GBK" w:cs="Times New Roman"/>
          <w:sz w:val="32"/>
          <w:szCs w:val="32"/>
        </w:rPr>
        <w:t>8.64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11.16</w:t>
      </w:r>
      <w:r>
        <w:rPr>
          <w:rFonts w:hint="default" w:ascii="Times New Roman" w:hAnsi="Times New Roman" w:eastAsia="方正仿宋_GBK" w:cs="Times New Roman"/>
          <w:sz w:val="32"/>
          <w:szCs w:val="32"/>
          <w:shd w:val="clear" w:color="auto" w:fill="FFFFFF"/>
        </w:rPr>
        <w:t>%，较年初预算数增加8.64万元，增长100.0%，主要原因是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（9）卫生健康支出</w:t>
      </w:r>
      <w:r>
        <w:rPr>
          <w:rFonts w:hint="default" w:ascii="Times New Roman" w:hAnsi="Times New Roman" w:eastAsia="方正仿宋_GBK" w:cs="Times New Roman"/>
          <w:sz w:val="32"/>
          <w:szCs w:val="32"/>
        </w:rPr>
        <w:t>3.06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3.96</w:t>
      </w:r>
      <w:r>
        <w:rPr>
          <w:rFonts w:hint="default" w:ascii="Times New Roman" w:hAnsi="Times New Roman" w:eastAsia="方正仿宋_GBK" w:cs="Times New Roman"/>
          <w:sz w:val="32"/>
          <w:szCs w:val="32"/>
          <w:shd w:val="clear" w:color="auto" w:fill="FFFFFF"/>
        </w:rPr>
        <w:t>%，较年初预算数增加3.06万元，增长100.0%，主要原因是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（19）</w:t>
      </w:r>
      <w:r>
        <w:rPr>
          <w:rFonts w:hint="default" w:ascii="Times New Roman" w:hAnsi="Times New Roman" w:eastAsia="方正仿宋_GBK" w:cs="Times New Roman"/>
          <w:sz w:val="32"/>
          <w:szCs w:val="32"/>
        </w:rPr>
        <w:t>住房保障支出6.53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8.45</w:t>
      </w:r>
      <w:r>
        <w:rPr>
          <w:rFonts w:hint="default" w:ascii="Times New Roman" w:hAnsi="Times New Roman" w:eastAsia="方正仿宋_GBK" w:cs="Times New Roman"/>
          <w:sz w:val="32"/>
          <w:szCs w:val="32"/>
          <w:shd w:val="clear" w:color="auto" w:fill="FFFFFF"/>
        </w:rPr>
        <w:t>%，较年初预算数增加6.53万元，增长100.0%，主要原因是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（四）一般公共预算财政拨款基本支出决算情况说明</w:t>
      </w:r>
    </w:p>
    <w:p>
      <w:pPr>
        <w:pStyle w:val="7"/>
        <w:keepNext w:val="0"/>
        <w:keepLines w:val="0"/>
        <w:pageBreakBefore w:val="0"/>
        <w:widowControl/>
        <w:shd w:val="clear" w:color="auto" w:fill="FFFFFF"/>
        <w:kinsoku/>
        <w:wordWrap/>
        <w:overflowPunct/>
        <w:topLinePunct w:val="0"/>
        <w:autoSpaceDN/>
        <w:bidi w:val="0"/>
        <w:adjustRightInd/>
        <w:spacing w:beforeAutospacing="0" w:afterAutospacing="0" w:line="60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2024年度一般公共财政拨款基本支出</w:t>
      </w:r>
      <w:r>
        <w:rPr>
          <w:rFonts w:hint="default" w:ascii="Times New Roman" w:hAnsi="Times New Roman" w:eastAsia="方正仿宋_GBK" w:cs="Times New Roman"/>
          <w:sz w:val="32"/>
          <w:szCs w:val="32"/>
        </w:rPr>
        <w:t>77.36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65.49</w:t>
      </w:r>
      <w:r>
        <w:rPr>
          <w:rFonts w:hint="default" w:ascii="Times New Roman" w:hAnsi="Times New Roman" w:eastAsia="方正仿宋_GBK" w:cs="Times New Roman"/>
          <w:sz w:val="32"/>
          <w:szCs w:val="32"/>
          <w:shd w:val="clear" w:color="auto" w:fill="FFFFFF"/>
        </w:rPr>
        <w:t>万元，与2023年度相比，增加65.49万元，增长100.0%，主要原因是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2024年3月开始独立核算，无年初预算数。</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color w:val="auto"/>
          <w:sz w:val="32"/>
          <w:szCs w:val="32"/>
          <w:shd w:val="clear" w:color="auto" w:fill="FFFFFF"/>
          <w:lang w:eastAsia="zh-CN"/>
        </w:rPr>
        <w:t>人员工资、保险、住房公积金、职业年金及购房补贴等。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11.87</w:t>
      </w:r>
      <w:r>
        <w:rPr>
          <w:rFonts w:hint="default" w:ascii="Times New Roman" w:hAnsi="Times New Roman" w:eastAsia="方正仿宋_GBK" w:cs="Times New Roman"/>
          <w:sz w:val="32"/>
          <w:szCs w:val="32"/>
          <w:shd w:val="clear" w:color="auto" w:fill="FFFFFF"/>
        </w:rPr>
        <w:t>万元，与2023年度相比，增加11.87万元，增长100.0%，主要原因是</w:t>
      </w:r>
      <w:r>
        <w:rPr>
          <w:rFonts w:hint="default" w:ascii="Times New Roman" w:hAnsi="Times New Roman" w:eastAsia="方正仿宋_GBK" w:cs="Times New Roman"/>
          <w:color w:val="auto"/>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2024年3月开始独立核算，无上年数。</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b w:val="0"/>
          <w:bCs w:val="0"/>
          <w:color w:val="auto"/>
          <w:sz w:val="32"/>
          <w:szCs w:val="32"/>
          <w:shd w:val="clear" w:color="auto" w:fill="FFFFFF"/>
          <w:lang w:eastAsia="zh-CN"/>
        </w:rPr>
        <w:t>办公费、水电费、邮电费、差旅费、维修（护）费、劳务费、其他交通费用及其他商品和服务支出等</w:t>
      </w:r>
      <w:r>
        <w:rPr>
          <w:rFonts w:hint="default" w:ascii="Times New Roman" w:hAnsi="Times New Roman" w:eastAsia="方正仿宋_GBK" w:cs="Times New Roman"/>
          <w:b w:val="0"/>
          <w:bCs w:val="0"/>
          <w:color w:val="auto"/>
          <w:sz w:val="32"/>
          <w:szCs w:val="32"/>
          <w:shd w:val="clear" w:color="auto" w:fill="FFFFFF"/>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（五）政府性基金预算收支决算情况说明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rPr>
        <w:t>2024年度</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政府性基金预算财政拨款年</w:t>
      </w:r>
      <w:r>
        <w:rPr>
          <w:rFonts w:hint="default" w:ascii="Times New Roman" w:hAnsi="Times New Roman" w:eastAsia="方正仿宋_GBK" w:cs="Times New Roman"/>
          <w:sz w:val="32"/>
          <w:szCs w:val="32"/>
          <w:shd w:val="clear" w:color="auto" w:fill="FFFFFF"/>
          <w:lang w:eastAsia="zh-CN"/>
        </w:rPr>
        <w:t>支出。</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（六）国有资本经营预算财政拨款支出决算情况说明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国有资本经营预算财政拨</w:t>
      </w:r>
      <w:r>
        <w:rPr>
          <w:rFonts w:hint="eastAsia" w:ascii="Times New Roman" w:hAnsi="Times New Roman" w:eastAsia="方正仿宋_GBK" w:cs="Times New Roman"/>
          <w:sz w:val="32"/>
          <w:szCs w:val="32"/>
          <w:shd w:val="clear" w:color="auto" w:fill="FFFFFF"/>
          <w:lang w:eastAsia="zh-CN"/>
        </w:rPr>
        <w:t>款</w:t>
      </w:r>
      <w:r>
        <w:rPr>
          <w:rFonts w:hint="default" w:ascii="Times New Roman" w:hAnsi="Times New Roman" w:eastAsia="方正仿宋_GBK" w:cs="Times New Roman"/>
          <w:sz w:val="32"/>
          <w:szCs w:val="32"/>
          <w:shd w:val="clear" w:color="auto" w:fill="FFFFFF"/>
          <w:lang w:eastAsia="zh-CN"/>
        </w:rPr>
        <w:t>支出。</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三、财政拨款“三公”经费情况说明</w:t>
      </w:r>
    </w:p>
    <w:p>
      <w:pPr>
        <w:pStyle w:val="7"/>
        <w:keepNext w:val="0"/>
        <w:keepLines w:val="0"/>
        <w:pageBreakBefore w:val="0"/>
        <w:widowControl/>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1"/>
          <w:rFonts w:hint="default" w:ascii="Times New Roman" w:hAnsi="Times New Roman" w:eastAsia="方正黑体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lang w:val="en-US" w:eastAsia="zh-CN"/>
        </w:rPr>
        <w:t>本单位属于街道下属事业单位，财政未保障我单位“三公”经费。</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default" w:ascii="Times New Roman" w:hAnsi="Times New Roman" w:eastAsia="方正黑体_GBK" w:cs="Times New Roman"/>
          <w:sz w:val="32"/>
          <w:szCs w:val="32"/>
          <w:shd w:val="clear" w:color="auto" w:fill="FFFFFF"/>
        </w:rPr>
      </w:pP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四、其他需要说明的事项</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 xml:space="preserve"> （一）财政拨款会议费和培训费情况说明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本单位于</w:t>
      </w:r>
      <w:r>
        <w:rPr>
          <w:rFonts w:hint="default" w:ascii="Times New Roman" w:hAnsi="Times New Roman" w:eastAsia="方正仿宋_GBK" w:cs="Times New Roman"/>
          <w:color w:val="auto"/>
          <w:sz w:val="32"/>
          <w:szCs w:val="32"/>
          <w:shd w:val="clear" w:color="auto" w:fill="FFFFFF"/>
          <w:lang w:val="en-US" w:eastAsia="zh-CN"/>
        </w:rPr>
        <w:t>2024年3月开始独立核算，</w:t>
      </w:r>
      <w:r>
        <w:rPr>
          <w:rFonts w:hint="default" w:ascii="Times New Roman" w:hAnsi="Times New Roman" w:eastAsia="方正仿宋_GBK" w:cs="Times New Roman"/>
          <w:sz w:val="32"/>
          <w:szCs w:val="32"/>
          <w:shd w:val="clear" w:color="auto" w:fill="FFFFFF"/>
          <w:lang w:eastAsia="zh-CN"/>
        </w:rPr>
        <w:t>无</w:t>
      </w:r>
      <w:r>
        <w:rPr>
          <w:rFonts w:hint="default" w:ascii="Times New Roman" w:hAnsi="Times New Roman" w:eastAsia="方正仿宋_GBK" w:cs="Times New Roman"/>
          <w:sz w:val="32"/>
          <w:szCs w:val="32"/>
          <w:shd w:val="clear" w:color="auto" w:fill="FFFFFF"/>
        </w:rPr>
        <w:t>会议费</w:t>
      </w:r>
      <w:r>
        <w:rPr>
          <w:rFonts w:hint="default" w:ascii="Times New Roman" w:hAnsi="Times New Roman" w:eastAsia="方正仿宋_GBK" w:cs="Times New Roman"/>
          <w:sz w:val="32"/>
          <w:szCs w:val="32"/>
          <w:shd w:val="clear" w:color="auto" w:fill="FFFFFF"/>
          <w:lang w:eastAsia="zh-CN"/>
        </w:rPr>
        <w:t>及培训费支出，也无上年数。</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（二）机关运行经费情况说明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sz w:val="32"/>
          <w:szCs w:val="32"/>
          <w:shd w:val="clear" w:color="auto" w:fill="FFFFFF"/>
          <w:lang w:eastAsia="zh-CN"/>
        </w:rPr>
        <w:t>为事业单位，</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机关运行经费支出</w:t>
      </w:r>
      <w:r>
        <w:rPr>
          <w:rFonts w:hint="default" w:ascii="Times New Roman" w:hAnsi="Times New Roman" w:eastAsia="方正仿宋_GBK" w:cs="Times New Roman"/>
          <w:sz w:val="32"/>
          <w:szCs w:val="32"/>
          <w:lang w:eastAsia="zh-CN"/>
        </w:rPr>
        <w:t>。</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（三）国有资产占用情况说明</w:t>
      </w:r>
    </w:p>
    <w:p>
      <w:pPr>
        <w:pStyle w:val="12"/>
        <w:keepNext w:val="0"/>
        <w:keepLines w:val="0"/>
        <w:pageBreakBefore w:val="0"/>
        <w:widowControl/>
        <w:kinsoku/>
        <w:wordWrap/>
        <w:overflowPunct/>
        <w:topLinePunct w:val="0"/>
        <w:autoSpaceDE w:val="0"/>
        <w:autoSpaceDN/>
        <w:bidi w:val="0"/>
        <w:adjustRightInd/>
        <w:spacing w:beforeAutospacing="0" w:afterAutospacing="0" w:line="600" w:lineRule="exact"/>
        <w:ind w:firstLine="643"/>
        <w:textAlignment w:val="auto"/>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本单位</w:t>
      </w:r>
      <w:r>
        <w:rPr>
          <w:rFonts w:hint="default" w:ascii="Times New Roman" w:hAnsi="Times New Roman" w:eastAsia="方正仿宋_GBK" w:cs="Times New Roman"/>
          <w:sz w:val="32"/>
          <w:szCs w:val="32"/>
          <w:shd w:val="clear" w:color="auto" w:fill="FFFFFF"/>
          <w:lang w:val="en-US" w:eastAsia="zh-CN"/>
        </w:rPr>
        <w:t>2024年度无</w:t>
      </w:r>
      <w:r>
        <w:rPr>
          <w:rFonts w:hint="default" w:ascii="Times New Roman" w:hAnsi="Times New Roman" w:eastAsia="方正仿宋_GBK" w:cs="Times New Roman"/>
          <w:sz w:val="32"/>
          <w:szCs w:val="32"/>
          <w:shd w:val="clear" w:color="auto" w:fill="FFFFFF"/>
          <w:lang w:eastAsia="zh-CN"/>
        </w:rPr>
        <w:t>国有资产占用情况。</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（四）政府采购支出情况说明</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本单位</w:t>
      </w:r>
      <w:r>
        <w:rPr>
          <w:rFonts w:hint="default" w:ascii="Times New Roman" w:hAnsi="Times New Roman" w:eastAsia="方正仿宋_GBK" w:cs="Times New Roman"/>
          <w:color w:val="auto"/>
          <w:sz w:val="32"/>
          <w:szCs w:val="32"/>
          <w:shd w:val="clear" w:color="auto" w:fill="FFFFFF"/>
        </w:rPr>
        <w:t>2024年度未发生政府采购事项，无相关经费支出。</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五、2024年度预算绩效管理情况说明</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楷体_GBK" w:cs="Times New Roman"/>
          <w:b/>
          <w:bCs/>
          <w:sz w:val="32"/>
          <w:szCs w:val="32"/>
        </w:rPr>
      </w:pPr>
      <w:r>
        <w:rPr>
          <w:rFonts w:hint="default" w:ascii="Times New Roman" w:hAnsi="Times New Roman" w:eastAsia="方正楷体_GBK" w:cs="Times New Roman"/>
          <w:b/>
          <w:bCs/>
          <w:sz w:val="32"/>
          <w:szCs w:val="32"/>
        </w:rPr>
        <w:t>（一）单位自评情况</w:t>
      </w:r>
    </w:p>
    <w:p>
      <w:pPr>
        <w:pStyle w:val="17"/>
        <w:keepNext w:val="0"/>
        <w:keepLines w:val="0"/>
        <w:pageBreakBefore w:val="0"/>
        <w:widowControl/>
        <w:tabs>
          <w:tab w:val="center" w:pos="4153"/>
          <w:tab w:val="left" w:pos="7275"/>
        </w:tabs>
        <w:kinsoku/>
        <w:wordWrap/>
        <w:overflowPunct/>
        <w:topLinePunct w:val="0"/>
        <w:autoSpaceDN/>
        <w:bidi w:val="0"/>
        <w:adjustRightInd/>
        <w:spacing w:beforeAutospacing="0" w:afterAutospacing="0" w:line="600" w:lineRule="exact"/>
        <w:ind w:firstLine="640"/>
        <w:textAlignment w:val="auto"/>
        <w:rPr>
          <w:rStyle w:val="11"/>
          <w:rFonts w:hint="default" w:ascii="Times New Roman" w:hAnsi="Times New Roman" w:eastAsia="方正黑体_GBK" w:cs="Times New Roman"/>
          <w:sz w:val="32"/>
          <w:szCs w:val="32"/>
          <w:shd w:val="clear" w:color="auto" w:fill="FFFFFF"/>
        </w:rPr>
      </w:pPr>
      <w:r>
        <w:rPr>
          <w:rFonts w:hint="default" w:ascii="Times New Roman" w:hAnsi="Times New Roman" w:eastAsia="方正仿宋_GBK" w:cs="Times New Roman"/>
          <w:sz w:val="32"/>
          <w:szCs w:val="32"/>
          <w:lang w:eastAsia="zh-CN"/>
        </w:rPr>
        <w:t>本单位</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lang w:eastAsia="zh-CN"/>
        </w:rPr>
        <w:t>无项目支出，无项目绩效自评。</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六、专业名词解释</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（四）其他收入：</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（五）使用非财政拨款结余：</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（十二）“三公”经费：</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bCs/>
          <w:sz w:val="32"/>
          <w:szCs w:val="32"/>
          <w:lang w:val="en-US" w:eastAsia="zh-CN" w:bidi="ar-SA"/>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3" w:firstLineChars="200"/>
        <w:textAlignment w:val="auto"/>
        <w:rPr>
          <w:rStyle w:val="11"/>
          <w:rFonts w:hint="default" w:ascii="Times New Roman" w:hAnsi="Times New Roman" w:eastAsia="方正黑体_GBK" w:cs="Times New Roman"/>
          <w:sz w:val="32"/>
          <w:szCs w:val="32"/>
          <w:shd w:val="clear" w:color="auto" w:fill="FFFFFF"/>
        </w:rPr>
      </w:pPr>
      <w:r>
        <w:rPr>
          <w:rStyle w:val="11"/>
          <w:rFonts w:hint="default" w:ascii="Times New Roman" w:hAnsi="Times New Roman" w:eastAsia="方正黑体_GBK" w:cs="Times New Roman"/>
          <w:sz w:val="32"/>
          <w:szCs w:val="32"/>
          <w:shd w:val="clear" w:color="auto" w:fill="FFFFFF"/>
        </w:rPr>
        <w:t>七、决算公开联系方式及信息反馈渠道</w:t>
      </w:r>
    </w:p>
    <w:p>
      <w:pPr>
        <w:pStyle w:val="13"/>
        <w:keepNext w:val="0"/>
        <w:keepLines w:val="0"/>
        <w:pageBreakBefore w:val="0"/>
        <w:widowControl/>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本单位决算公开信息反馈和联系方式：</w:t>
      </w:r>
    </w:p>
    <w:p>
      <w:pPr>
        <w:pStyle w:val="7"/>
        <w:keepNext w:val="0"/>
        <w:keepLines w:val="0"/>
        <w:pageBreakBefore w:val="0"/>
        <w:widowControl/>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default" w:ascii="Times New Roman" w:hAnsi="Times New Roman" w:cs="Times New Roman"/>
          <w:sz w:val="18"/>
          <w:szCs w:val="18"/>
        </w:rPr>
      </w:pPr>
      <w:r>
        <w:rPr>
          <w:rFonts w:hint="default" w:ascii="Times New Roman" w:hAnsi="Times New Roman" w:eastAsia="方正仿宋_GBK" w:cs="Times New Roman"/>
          <w:sz w:val="32"/>
          <w:szCs w:val="32"/>
          <w:shd w:val="clear" w:color="auto" w:fill="FFFFFF"/>
          <w:lang w:eastAsia="zh-CN"/>
        </w:rPr>
        <w:t>陈丽</w:t>
      </w:r>
      <w:r>
        <w:rPr>
          <w:rFonts w:hint="default" w:ascii="Times New Roman" w:hAnsi="Times New Roman" w:eastAsia="方正仿宋_GBK" w:cs="Times New Roman"/>
          <w:sz w:val="32"/>
          <w:szCs w:val="32"/>
          <w:shd w:val="clear" w:color="auto" w:fill="FFFFFF"/>
          <w:lang w:val="en-US" w:eastAsia="zh-CN"/>
        </w:rPr>
        <w:t xml:space="preserve">  023-63701830</w:t>
      </w:r>
    </w:p>
    <w:sectPr>
      <w:headerReference r:id="rId3" w:type="default"/>
      <w:footerReference r:id="rId4" w:type="default"/>
      <w:pgSz w:w="11850" w:h="16783"/>
      <w:pgMar w:top="1984" w:right="1446" w:bottom="1644" w:left="1446"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16FE9"/>
    <w:rsid w:val="00C20C3E"/>
    <w:rsid w:val="00C5163E"/>
    <w:rsid w:val="00CF2ACF"/>
    <w:rsid w:val="00D03AAF"/>
    <w:rsid w:val="00D8322C"/>
    <w:rsid w:val="00DA311F"/>
    <w:rsid w:val="00DD0539"/>
    <w:rsid w:val="00E07662"/>
    <w:rsid w:val="00E368E9"/>
    <w:rsid w:val="00EE1E33"/>
    <w:rsid w:val="00F73F90"/>
    <w:rsid w:val="00FB4B3B"/>
    <w:rsid w:val="01474EBF"/>
    <w:rsid w:val="01F3521E"/>
    <w:rsid w:val="03B87EA0"/>
    <w:rsid w:val="03E3214F"/>
    <w:rsid w:val="044C50BA"/>
    <w:rsid w:val="05484DF2"/>
    <w:rsid w:val="05BC6D49"/>
    <w:rsid w:val="06194FF1"/>
    <w:rsid w:val="06A2550B"/>
    <w:rsid w:val="06F80EE2"/>
    <w:rsid w:val="07001CCA"/>
    <w:rsid w:val="07087FF8"/>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EF849C1"/>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4C4D07"/>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6A22C1"/>
    <w:rsid w:val="4DAC4ACA"/>
    <w:rsid w:val="4DBE01D2"/>
    <w:rsid w:val="4EFD467F"/>
    <w:rsid w:val="4F0C6BA3"/>
    <w:rsid w:val="4F186D58"/>
    <w:rsid w:val="504B6EAA"/>
    <w:rsid w:val="50F06B6E"/>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BE1F74"/>
    <w:rsid w:val="56FF7E9E"/>
    <w:rsid w:val="578867FC"/>
    <w:rsid w:val="5842572D"/>
    <w:rsid w:val="5A3B59D6"/>
    <w:rsid w:val="5AD134D8"/>
    <w:rsid w:val="5BF41F67"/>
    <w:rsid w:val="5C263CE4"/>
    <w:rsid w:val="5C5D2777"/>
    <w:rsid w:val="5CF66BF3"/>
    <w:rsid w:val="5D290C69"/>
    <w:rsid w:val="5DA80C2C"/>
    <w:rsid w:val="5F2D4A41"/>
    <w:rsid w:val="60366C46"/>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97676D6"/>
    <w:rsid w:val="69A26ED6"/>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0EC12E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next w:val="1"/>
    <w:qFormat/>
    <w:uiPriority w:val="0"/>
    <w:pPr>
      <w:widowControl w:val="0"/>
      <w:spacing w:line="594" w:lineRule="exact"/>
      <w:ind w:firstLine="723" w:firstLineChars="200"/>
      <w:jc w:val="left"/>
      <w:outlineLvl w:val="0"/>
    </w:pPr>
    <w:rPr>
      <w:rFonts w:ascii="Times New Roman" w:hAnsi="Times New Roman" w:eastAsia="方正仿宋_GBK" w:cs="Times New Roman"/>
      <w:bCs/>
      <w:kern w:val="2"/>
      <w:sz w:val="32"/>
      <w:szCs w:val="22"/>
      <w:lang w:val="en-US" w:eastAsia="zh-CN" w:bidi="ar-SA"/>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列出段落3"/>
    <w:basedOn w:val="1"/>
    <w:qFormat/>
    <w:uiPriority w:val="99"/>
    <w:pPr>
      <w:ind w:firstLine="420" w:firstLineChars="200"/>
    </w:pPr>
  </w:style>
  <w:style w:type="paragraph" w:customStyle="1" w:styleId="18">
    <w:name w:val="正文-公1"/>
    <w:basedOn w:val="19"/>
    <w:next w:val="1"/>
    <w:qFormat/>
    <w:uiPriority w:val="0"/>
    <w:pPr>
      <w:ind w:firstLine="200" w:firstLineChars="200"/>
    </w:pPr>
  </w:style>
  <w:style w:type="paragraph" w:customStyle="1" w:styleId="19">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
    <w:qFormat/>
    <w:uiPriority w:val="0"/>
    <w:pPr>
      <w:widowControl w:val="0"/>
      <w:jc w:val="both"/>
    </w:pPr>
    <w:rPr>
      <w:rFonts w:ascii="Times New Roman" w:hAnsi="Times New Roman" w:eastAsia="宋体" w:cs="Times New Roman"/>
      <w:kern w:val="2"/>
      <w:sz w:val="21"/>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3275</Words>
  <Characters>3688</Characters>
  <Lines>186</Lines>
  <Paragraphs>52</Paragraphs>
  <TotalTime>2</TotalTime>
  <ScaleCrop>false</ScaleCrop>
  <LinksUpToDate>false</LinksUpToDate>
  <CharactersWithSpaces>3694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七星岗收文人员</cp:lastModifiedBy>
  <dcterms:modified xsi:type="dcterms:W3CDTF">2025-10-29T07:19:10Z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754BC5304E744995BC566380719B6C52</vt:lpwstr>
  </property>
  <property fmtid="{D5CDD505-2E9C-101B-9397-08002B2CF9AE}" pid="4" name="KSOTemplateDocerSaveRecord">
    <vt:lpwstr>eyJoZGlkIjoiMDUwMjYyMTAwZTM5NTcxOGVhNzI3YWZjMDRhMjZkZDEifQ==</vt:lpwstr>
  </property>
</Properties>
</file>