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重庆市渝中区七星岗街道城市建设服务中心</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一、单位基本情况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4" w:firstLineChars="3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（一）职能职责</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0" w:firstLineChars="3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负责社区管理等方面的社会性、事务性工作，具体负责社区城建、城管、文教、卫生、计划生育等日常管理工作，完成街</w:t>
      </w:r>
      <w:r>
        <w:rPr>
          <w:rFonts w:hint="default" w:ascii="Times New Roman" w:hAnsi="Times New Roman" w:eastAsia="方正仿宋_GBK" w:cs="Times New Roman"/>
          <w:sz w:val="32"/>
          <w:szCs w:val="32"/>
          <w:shd w:val="clear" w:color="auto" w:fill="FFFFFF"/>
          <w:lang w:val="en-US" w:eastAsia="zh-CN"/>
        </w:rPr>
        <w:t>道办事处交办的其他事项。</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4" w:firstLineChars="3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0" w:firstLineChars="3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本单位为财政全额拨款参公事业单位，年末实有人员编制2人。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4" w:firstLineChars="3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二、单位决算收支情况说明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4" w:firstLineChars="3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（一）收入支出决算总体情况说明。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0" w:firstLineChars="3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1.总体情况。2024年度收入总计58.58万元，支出总计58.58万元。收、支与2023年度相比，增加58.58万元，增长100.0%，主要原因是</w:t>
      </w: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sz w:val="32"/>
          <w:szCs w:val="32"/>
          <w:shd w:val="clear" w:color="auto" w:fill="FFFFFF"/>
          <w:lang w:val="en-US" w:eastAsia="zh-CN"/>
        </w:rPr>
        <w:t>2024年3月开始独立核算，无上年数。</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0" w:firstLineChars="3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2.收入情况。2024年度收入合计58.58万元，与2023年度相比，增加58.58万元，增长100.0%，主要原因是</w:t>
      </w: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其中：财政拨款收入58.58万元，占100.00%；事业收入0.00万元，占0.00%；经营收入0.00万元，占0.00%；其他收入0.00万元，占0.00%。此外，使用非财政拨款结余和专用结余0.00万元，年初结转和结余0.00万元。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0" w:firstLineChars="3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3.支出情况。2024年度支出合计58.58万元，与2023年度相比，增加58.58万元，增长100.0%，主要原因是</w:t>
      </w: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其中：基本支出58.58万元，占100.00%；项目支出0.00万元，占0.00%；经营支出0.00万元，占0.00%。此外，结余分配0.00万元。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0" w:firstLineChars="3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4.结转结余情况。2024年度年末结转和结余0.00万元，与2023年度相比，无增减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4" w:firstLineChars="3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0" w:firstLineChars="3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2024年度财政拨款收、支总计58.58万元。与2023年相比，财政拨款收、支总计各增加58.58万元，增长100.0%。主要原因是</w:t>
      </w: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sz w:val="32"/>
          <w:szCs w:val="32"/>
          <w:shd w:val="clear" w:color="auto" w:fill="FFFFFF"/>
          <w:lang w:val="en-US" w:eastAsia="zh-CN"/>
        </w:rPr>
        <w:t>2024年3月开始独立核算，无上年数。</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4" w:firstLineChars="3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0" w:firstLineChars="3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1.收入情况。2024年度一般公共预算财政拨款收入58.58万元，与2023年度相比，增加58.58万元，增长100.0%。主要原因是</w:t>
      </w: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较年初预算数增加58.58万元，增长100.0%。主要原因是</w:t>
      </w: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sz w:val="32"/>
          <w:szCs w:val="32"/>
          <w:shd w:val="clear" w:color="auto" w:fill="FFFFFF"/>
          <w:lang w:val="en-US" w:eastAsia="zh-CN"/>
        </w:rPr>
        <w:t>2024年3月开始独立核算，无年初预算数。</w:t>
      </w:r>
      <w:r>
        <w:rPr>
          <w:rFonts w:hint="default" w:ascii="Times New Roman" w:hAnsi="Times New Roman" w:eastAsia="方正仿宋_GBK" w:cs="Times New Roman"/>
          <w:sz w:val="32"/>
          <w:szCs w:val="32"/>
          <w:shd w:val="clear" w:color="auto" w:fill="FFFFFF"/>
        </w:rPr>
        <w:t>此外，年初财政拨款结转和结余0.00万元。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0" w:firstLineChars="3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2.支出情况。2024年度一般公共预算财政拨款支出58.58万元，与2023年度相比，增加58.58万元，增长100.0%。主要原因是</w:t>
      </w: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较年初预算数增加58.58万元，增长100.0%。主要原因是</w:t>
      </w: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sz w:val="32"/>
          <w:szCs w:val="32"/>
          <w:shd w:val="clear" w:color="auto" w:fill="FFFFFF"/>
          <w:lang w:val="en-US" w:eastAsia="zh-CN"/>
        </w:rPr>
        <w:t>2024年3月开始独立核算，无年初预算数。</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0" w:firstLineChars="3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3.结转结余情况。2024年度年末一般公共预算财政拨款结转和结余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3"/>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43.45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74.17</w:t>
      </w:r>
      <w:r>
        <w:rPr>
          <w:rFonts w:hint="default" w:ascii="Times New Roman" w:hAnsi="Times New Roman" w:eastAsia="方正仿宋_GBK" w:cs="Times New Roman"/>
          <w:sz w:val="32"/>
          <w:szCs w:val="32"/>
          <w:shd w:val="clear" w:color="auto" w:fill="FFFFFF"/>
        </w:rPr>
        <w:t>%，较年初预算数增加43.45万元，增长100.0%，主要原因是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7.36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12.56</w:t>
      </w:r>
      <w:r>
        <w:rPr>
          <w:rFonts w:hint="default" w:ascii="Times New Roman" w:hAnsi="Times New Roman" w:eastAsia="方正仿宋_GBK" w:cs="Times New Roman"/>
          <w:sz w:val="32"/>
          <w:szCs w:val="32"/>
          <w:shd w:val="clear" w:color="auto" w:fill="FFFFFF"/>
        </w:rPr>
        <w:t>%，较年初预算数增加7.36万元，增长100.0%，主要原因是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3.56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6.08</w:t>
      </w:r>
      <w:r>
        <w:rPr>
          <w:rFonts w:hint="default" w:ascii="Times New Roman" w:hAnsi="Times New Roman" w:eastAsia="方正仿宋_GBK" w:cs="Times New Roman"/>
          <w:sz w:val="32"/>
          <w:szCs w:val="32"/>
          <w:shd w:val="clear" w:color="auto" w:fill="FFFFFF"/>
        </w:rPr>
        <w:t>%，较年初预算数增加3.56万元，增长100.0%，主要原因是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住房保障支出4.21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7.19</w:t>
      </w:r>
      <w:r>
        <w:rPr>
          <w:rFonts w:hint="default" w:ascii="Times New Roman" w:hAnsi="Times New Roman" w:eastAsia="方正仿宋_GBK" w:cs="Times New Roman"/>
          <w:sz w:val="32"/>
          <w:szCs w:val="32"/>
          <w:shd w:val="clear" w:color="auto" w:fill="FFFFFF"/>
        </w:rPr>
        <w:t>%，较年初预算数增加4.21万元，增长100.0%，主要原因是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58.58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46.39</w:t>
      </w:r>
      <w:r>
        <w:rPr>
          <w:rFonts w:hint="default" w:ascii="Times New Roman" w:hAnsi="Times New Roman" w:eastAsia="方正仿宋_GBK" w:cs="Times New Roman"/>
          <w:sz w:val="32"/>
          <w:szCs w:val="32"/>
          <w:shd w:val="clear" w:color="auto" w:fill="FFFFFF"/>
        </w:rPr>
        <w:t>万元，与2023年度相比，增加46.39万元，增长100.0%，主要原因是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人员工资、保险、住房公积金、职业年金及购房补贴等。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12.20</w:t>
      </w:r>
      <w:r>
        <w:rPr>
          <w:rFonts w:hint="default" w:ascii="Times New Roman" w:hAnsi="Times New Roman" w:eastAsia="方正仿宋_GBK" w:cs="Times New Roman"/>
          <w:sz w:val="32"/>
          <w:szCs w:val="32"/>
          <w:shd w:val="clear" w:color="auto" w:fill="FFFFFF"/>
        </w:rPr>
        <w:t>万元，与2023年度相比，增加12.20万元，增长100.0%，主要原因是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shd w:val="clear" w:color="auto" w:fill="FFFFFF"/>
          <w:lang w:eastAsia="zh-CN"/>
        </w:rPr>
        <w:t>办公费、水电费、邮电费、差旅费、维修（护）费、劳务费、其他交通费用及其他商品和服务支出等</w:t>
      </w:r>
      <w:r>
        <w:rPr>
          <w:rFonts w:hint="default" w:ascii="Times New Roman" w:hAnsi="Times New Roman" w:eastAsia="方正仿宋_GBK" w:cs="Times New Roman"/>
          <w:b w:val="0"/>
          <w:bCs w:val="0"/>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321" w:firstLineChars="1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w:t>
      </w:r>
      <w:r>
        <w:rPr>
          <w:rFonts w:hint="default" w:ascii="Times New Roman" w:hAnsi="Times New Roman" w:eastAsia="方正仿宋_GBK" w:cs="Times New Roman"/>
          <w:sz w:val="32"/>
          <w:szCs w:val="32"/>
          <w:shd w:val="clear" w:color="auto" w:fill="FFFFFF"/>
        </w:rPr>
        <w:t>政府性基金预算财政拨款</w:t>
      </w:r>
      <w:r>
        <w:rPr>
          <w:rFonts w:hint="default" w:ascii="Times New Roman" w:hAnsi="Times New Roman" w:eastAsia="方正仿宋_GBK" w:cs="Times New Roman"/>
          <w:sz w:val="32"/>
          <w:szCs w:val="32"/>
          <w:shd w:val="clear" w:color="auto" w:fill="FFFFFF"/>
          <w:lang w:eastAsia="zh-CN"/>
        </w:rPr>
        <w:t>收支。</w:t>
      </w:r>
    </w:p>
    <w:p>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国有资本经营预算财政拨本年支出</w:t>
      </w:r>
      <w:r>
        <w:rPr>
          <w:rFonts w:hint="default" w:ascii="Times New Roman" w:hAnsi="Times New Roman" w:eastAsia="方正仿宋_GBK" w:cs="Times New Roman"/>
          <w:sz w:val="32"/>
          <w:szCs w:val="32"/>
          <w:lang w:eastAsia="zh-CN"/>
        </w:rPr>
        <w:t>。</w:t>
      </w:r>
    </w:p>
    <w:p>
      <w:pPr>
        <w:pStyle w:val="9"/>
        <w:keepNext w:val="0"/>
        <w:keepLines w:val="0"/>
        <w:pageBreakBefore w:val="0"/>
        <w:widowControl/>
        <w:numPr>
          <w:ilvl w:val="0"/>
          <w:numId w:val="1"/>
        </w:numPr>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财政拨款“三公”经费情况说明</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textAlignment w:val="auto"/>
        <w:rPr>
          <w:rStyle w:val="13"/>
          <w:rFonts w:hint="default" w:ascii="Times New Roman" w:hAnsi="Times New Roman" w:eastAsia="黑体" w:cs="Times New Roman"/>
          <w:b w:val="0"/>
          <w:bCs/>
          <w:sz w:val="32"/>
          <w:szCs w:val="32"/>
          <w:shd w:val="clear" w:color="auto" w:fill="FFFFFF"/>
          <w:lang w:val="en-US" w:eastAsia="zh-CN"/>
        </w:rPr>
      </w:pPr>
      <w:r>
        <w:rPr>
          <w:rStyle w:val="13"/>
          <w:rFonts w:hint="default" w:ascii="Times New Roman" w:hAnsi="Times New Roman" w:eastAsia="黑体" w:cs="Times New Roman"/>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val="en-US" w:eastAsia="zh-CN"/>
        </w:rPr>
        <w:t>本单位属于街道所属参公事业单位，财政未保障我单位“三公”经费。</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四、其他需要说明的事项</w:t>
      </w:r>
    </w:p>
    <w:p>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w:t>
      </w:r>
      <w:r>
        <w:rPr>
          <w:rFonts w:hint="default" w:ascii="Times New Roman" w:hAnsi="Times New Roman" w:eastAsia="方正仿宋_GBK" w:cs="Times New Roman"/>
          <w:sz w:val="32"/>
          <w:szCs w:val="32"/>
          <w:shd w:val="clear" w:color="auto" w:fill="FFFFFF"/>
          <w:lang w:eastAsia="zh-CN"/>
        </w:rPr>
        <w:t>无增减。</w:t>
      </w:r>
    </w:p>
    <w:p>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960" w:firstLineChars="3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lang w:val="en-US" w:eastAsia="zh-CN"/>
        </w:rPr>
        <w:t>12.20</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b w:val="0"/>
          <w:bCs w:val="0"/>
          <w:color w:val="auto"/>
          <w:sz w:val="32"/>
          <w:szCs w:val="32"/>
          <w:shd w:val="clear" w:color="auto" w:fill="FFFFFF"/>
          <w:lang w:eastAsia="zh-CN"/>
        </w:rPr>
        <w:t>办公费、水电费、邮电费、差旅费、维修（护）费、劳务费、其他交通费用及其他商品和服务支出等</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机关运行经费较上年支出数增加</w:t>
      </w:r>
      <w:r>
        <w:rPr>
          <w:rFonts w:hint="default" w:ascii="Times New Roman" w:hAnsi="Times New Roman" w:eastAsia="方正仿宋_GBK" w:cs="Times New Roman"/>
          <w:sz w:val="32"/>
          <w:szCs w:val="32"/>
          <w:shd w:val="clear" w:color="auto" w:fill="FFFFFF"/>
          <w:lang w:val="en-US" w:eastAsia="zh-CN"/>
        </w:rPr>
        <w:t>12.20</w:t>
      </w:r>
      <w:r>
        <w:rPr>
          <w:rFonts w:hint="default" w:ascii="Times New Roman" w:hAnsi="Times New Roman" w:eastAsia="方正仿宋_GBK" w:cs="Times New Roman"/>
          <w:sz w:val="32"/>
          <w:szCs w:val="32"/>
          <w:shd w:val="clear" w:color="auto" w:fill="FFFFFF"/>
        </w:rPr>
        <w:t>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2024年无</w:t>
      </w:r>
      <w:r>
        <w:rPr>
          <w:rFonts w:hint="default" w:ascii="Times New Roman" w:hAnsi="Times New Roman" w:eastAsia="方正仿宋_GBK" w:cs="Times New Roman"/>
          <w:sz w:val="32"/>
          <w:szCs w:val="32"/>
          <w:shd w:val="clear" w:color="auto" w:fill="FFFFFF"/>
          <w:lang w:eastAsia="zh-CN"/>
        </w:rPr>
        <w:t>国有资产占用情况。</w:t>
      </w:r>
    </w:p>
    <w:p>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2024年度未发生政府采购事项，无相关经费支出。</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五、2024年度预算绩效管理情况说明</w:t>
      </w:r>
    </w:p>
    <w:p>
      <w:pPr>
        <w:pStyle w:val="15"/>
        <w:keepNext w:val="0"/>
        <w:keepLines w:val="0"/>
        <w:pageBreakBefore w:val="0"/>
        <w:widowControl/>
        <w:numPr>
          <w:ilvl w:val="0"/>
          <w:numId w:val="2"/>
        </w:numPr>
        <w:kinsoku/>
        <w:wordWrap/>
        <w:overflowPunct/>
        <w:topLinePunct w:val="0"/>
        <w:autoSpaceDE w:val="0"/>
        <w:autoSpaceDN/>
        <w:bidi w:val="0"/>
        <w:adjustRightInd/>
        <w:spacing w:before="0" w:beforeAutospacing="0" w:after="0" w:afterAutospacing="0"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单位自评情况</w:t>
      </w:r>
    </w:p>
    <w:p>
      <w:pPr>
        <w:pStyle w:val="19"/>
        <w:keepNext w:val="0"/>
        <w:keepLines w:val="0"/>
        <w:pageBreakBefore w:val="0"/>
        <w:widowControl/>
        <w:tabs>
          <w:tab w:val="center" w:pos="4153"/>
          <w:tab w:val="left" w:pos="7275"/>
        </w:tabs>
        <w:kinsoku/>
        <w:wordWrap/>
        <w:overflowPunct/>
        <w:topLinePunct w:val="0"/>
        <w:autoSpaceDN/>
        <w:bidi w:val="0"/>
        <w:adjustRightInd/>
        <w:spacing w:beforeAutospacing="0" w:afterAutospacing="0" w:line="60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本单位无项目支出，故无项目绩效自评。</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textAlignment w:val="auto"/>
        <w:rPr>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shd w:val="clear" w:color="auto" w:fill="FFFFFF"/>
        </w:rPr>
        <w:t xml:space="preserve">   </w:t>
      </w:r>
      <w:r>
        <w:rPr>
          <w:rStyle w:val="13"/>
          <w:rFonts w:hint="default" w:ascii="Times New Roman" w:hAnsi="Times New Roman" w:eastAsia="黑体" w:cs="Times New Roman"/>
          <w:sz w:val="32"/>
          <w:szCs w:val="32"/>
          <w:shd w:val="clear" w:color="auto" w:fill="FFFFFF"/>
        </w:rPr>
        <w:t xml:space="preserve"> 六、专业名词解释</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w:t>
      </w:r>
      <w:bookmarkStart w:id="0" w:name="_GoBack"/>
      <w:bookmarkEnd w:id="0"/>
      <w:r>
        <w:rPr>
          <w:rFonts w:hint="default" w:ascii="Times New Roman" w:hAnsi="Times New Roman" w:eastAsia="方正仿宋_GBK" w:cs="Times New Roman"/>
          <w:sz w:val="32"/>
          <w:szCs w:val="32"/>
          <w:shd w:val="clear" w:color="auto" w:fill="FFFFFF"/>
        </w:rPr>
        <w:t>、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黑体" w:cs="Times New Roman"/>
          <w:sz w:val="32"/>
          <w:szCs w:val="32"/>
          <w:shd w:val="clear" w:color="auto" w:fill="FFFFFF"/>
        </w:rPr>
        <w:t>七、决算公开联系方式及信息反馈渠道</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pPr>
        <w:pStyle w:val="15"/>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cs="Times New Roman"/>
          <w:sz w:val="18"/>
          <w:szCs w:val="18"/>
        </w:rPr>
      </w:pPr>
      <w:r>
        <w:rPr>
          <w:rFonts w:hint="default" w:ascii="Times New Roman" w:hAnsi="Times New Roman" w:eastAsia="方正仿宋_GBK" w:cs="Times New Roman"/>
          <w:sz w:val="32"/>
          <w:szCs w:val="32"/>
          <w:shd w:val="clear" w:color="auto" w:fill="FFFFFF"/>
          <w:lang w:eastAsia="zh-CN"/>
        </w:rPr>
        <w:t>陈丽</w:t>
      </w:r>
      <w:r>
        <w:rPr>
          <w:rFonts w:hint="default" w:ascii="Times New Roman" w:hAnsi="Times New Roman" w:eastAsia="方正仿宋_GBK" w:cs="Times New Roman"/>
          <w:sz w:val="32"/>
          <w:szCs w:val="32"/>
          <w:shd w:val="clear" w:color="auto" w:fill="FFFFFF"/>
          <w:lang w:val="en-US" w:eastAsia="zh-CN"/>
        </w:rPr>
        <w:t xml:space="preserve">  023-63701830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F0492"/>
    <w:multiLevelType w:val="singleLevel"/>
    <w:tmpl w:val="F3EF0492"/>
    <w:lvl w:ilvl="0" w:tentative="0">
      <w:start w:val="1"/>
      <w:numFmt w:val="chineseCounting"/>
      <w:suff w:val="nothing"/>
      <w:lvlText w:val="（%1）"/>
      <w:lvlJc w:val="left"/>
      <w:rPr>
        <w:rFonts w:hint="eastAsia"/>
      </w:rPr>
    </w:lvl>
  </w:abstractNum>
  <w:abstractNum w:abstractNumId="1">
    <w:nsid w:val="00B0D366"/>
    <w:multiLevelType w:val="singleLevel"/>
    <w:tmpl w:val="00B0D36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8E3501"/>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86368D"/>
    <w:rsid w:val="0D98190E"/>
    <w:rsid w:val="0DDA54E4"/>
    <w:rsid w:val="0E3A5F83"/>
    <w:rsid w:val="0F836721"/>
    <w:rsid w:val="0FA25D96"/>
    <w:rsid w:val="105F2703"/>
    <w:rsid w:val="107B59E5"/>
    <w:rsid w:val="10EC0126"/>
    <w:rsid w:val="10F70B9A"/>
    <w:rsid w:val="111445C7"/>
    <w:rsid w:val="114278C6"/>
    <w:rsid w:val="1158083A"/>
    <w:rsid w:val="11643A4B"/>
    <w:rsid w:val="11ED0F98"/>
    <w:rsid w:val="11F03528"/>
    <w:rsid w:val="12C921C4"/>
    <w:rsid w:val="13871C70"/>
    <w:rsid w:val="13A71CB4"/>
    <w:rsid w:val="13A72129"/>
    <w:rsid w:val="13AF1D43"/>
    <w:rsid w:val="13CE1647"/>
    <w:rsid w:val="13FD55AB"/>
    <w:rsid w:val="14200702"/>
    <w:rsid w:val="14370EA1"/>
    <w:rsid w:val="163A6CEE"/>
    <w:rsid w:val="16A14F3B"/>
    <w:rsid w:val="173708E3"/>
    <w:rsid w:val="17C374FC"/>
    <w:rsid w:val="182E4AB6"/>
    <w:rsid w:val="189079DC"/>
    <w:rsid w:val="189B0D0B"/>
    <w:rsid w:val="18B43F7C"/>
    <w:rsid w:val="191C433B"/>
    <w:rsid w:val="194A1770"/>
    <w:rsid w:val="19B906A4"/>
    <w:rsid w:val="1B6F15B6"/>
    <w:rsid w:val="1BAA2EDC"/>
    <w:rsid w:val="1C9920D7"/>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59D136A"/>
    <w:rsid w:val="26396DF4"/>
    <w:rsid w:val="264D65A7"/>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C97EFA"/>
    <w:rsid w:val="2E4159FC"/>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7519B6"/>
    <w:rsid w:val="48225EF7"/>
    <w:rsid w:val="488F422B"/>
    <w:rsid w:val="48E36915"/>
    <w:rsid w:val="48EB6572"/>
    <w:rsid w:val="493D2C69"/>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643ADD"/>
    <w:rsid w:val="50F06B6E"/>
    <w:rsid w:val="51D21804"/>
    <w:rsid w:val="52234D33"/>
    <w:rsid w:val="522F6E0C"/>
    <w:rsid w:val="52463BA1"/>
    <w:rsid w:val="52C72740"/>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EF39F4"/>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6E2224"/>
    <w:rsid w:val="6D903FF5"/>
    <w:rsid w:val="6DA955B8"/>
    <w:rsid w:val="6DE346AB"/>
    <w:rsid w:val="6DE5391A"/>
    <w:rsid w:val="6EFD1324"/>
    <w:rsid w:val="6F48423C"/>
    <w:rsid w:val="6F5A53AC"/>
    <w:rsid w:val="6FAC003D"/>
    <w:rsid w:val="6FD926BF"/>
    <w:rsid w:val="6FE55E12"/>
    <w:rsid w:val="6FFB2E76"/>
    <w:rsid w:val="708F6F7F"/>
    <w:rsid w:val="70D94BD3"/>
    <w:rsid w:val="71574775"/>
    <w:rsid w:val="71C34D91"/>
    <w:rsid w:val="72DB435C"/>
    <w:rsid w:val="72E2613A"/>
    <w:rsid w:val="72F771F4"/>
    <w:rsid w:val="73934AD2"/>
    <w:rsid w:val="744466DD"/>
    <w:rsid w:val="750837F0"/>
    <w:rsid w:val="754758CF"/>
    <w:rsid w:val="75595ECD"/>
    <w:rsid w:val="764F62AB"/>
    <w:rsid w:val="765C45EC"/>
    <w:rsid w:val="768A7619"/>
    <w:rsid w:val="76BD23AB"/>
    <w:rsid w:val="772E1EBA"/>
    <w:rsid w:val="781926BC"/>
    <w:rsid w:val="793D099D"/>
    <w:rsid w:val="796D60A4"/>
    <w:rsid w:val="79A031D5"/>
    <w:rsid w:val="79B47FDF"/>
    <w:rsid w:val="79E569A9"/>
    <w:rsid w:val="7A1525F7"/>
    <w:rsid w:val="7B420052"/>
    <w:rsid w:val="7BD06A28"/>
    <w:rsid w:val="7C3A7C0B"/>
    <w:rsid w:val="7C5248E4"/>
    <w:rsid w:val="7C566698"/>
    <w:rsid w:val="7C5866A3"/>
    <w:rsid w:val="7D7406BB"/>
    <w:rsid w:val="7DA924CA"/>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annotation text"/>
    <w:basedOn w:val="1"/>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3343</Words>
  <Characters>3780</Characters>
  <Lines>186</Lines>
  <Paragraphs>52</Paragraphs>
  <TotalTime>3</TotalTime>
  <ScaleCrop>false</ScaleCrop>
  <LinksUpToDate>false</LinksUpToDate>
  <CharactersWithSpaces>3793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七星岗收文人员</cp:lastModifiedBy>
  <dcterms:modified xsi:type="dcterms:W3CDTF">2025-10-17T03:21:22Z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24DDF150E3DE4B619034C58E177C402E</vt:lpwstr>
  </property>
  <property fmtid="{D5CDD505-2E9C-101B-9397-08002B2CF9AE}" pid="4" name="KSOTemplateDocerSaveRecord">
    <vt:lpwstr>eyJoZGlkIjoiMDUwMjYyMTAwZTM5NTcxOGVhNzI3YWZjMDRhMjZkZDEifQ==</vt:lpwstr>
  </property>
</Properties>
</file>