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重庆市渝中区南纪门街道新时代文明实践</w:t>
      </w:r>
    </w:p>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服务中心</w:t>
      </w:r>
      <w:r>
        <w:rPr>
          <w:rStyle w:val="10"/>
          <w:rFonts w:hint="eastAsia" w:ascii="方正小标宋_GBK" w:hAnsi="方正小标宋_GBK" w:eastAsia="方正小标宋_GBK" w:cs="方正小标宋_GBK"/>
          <w:b w:val="0"/>
          <w:bCs w:val="0"/>
          <w:snapToGrid/>
          <w:spacing w:val="0"/>
          <w:sz w:val="44"/>
          <w:szCs w:val="44"/>
          <w:shd w:val="clear" w:fill="FFFFFF"/>
        </w:rPr>
        <w:t>202</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4</w:t>
      </w:r>
      <w:r>
        <w:rPr>
          <w:rStyle w:val="10"/>
          <w:rFonts w:hint="eastAsia" w:ascii="方正小标宋_GBK" w:hAnsi="方正小标宋_GBK" w:eastAsia="方正小标宋_GBK" w:cs="方正小标宋_GBK"/>
          <w:b w:val="0"/>
          <w:bCs w:val="0"/>
          <w:snapToGrid/>
          <w:spacing w:val="0"/>
          <w:sz w:val="44"/>
          <w:szCs w:val="44"/>
          <w:shd w:val="clear" w:fill="FFFFFF"/>
        </w:rPr>
        <w:t>年度决算</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情况</w:t>
      </w:r>
      <w:r>
        <w:rPr>
          <w:rStyle w:val="10"/>
          <w:rFonts w:hint="eastAsia" w:ascii="方正小标宋_GBK" w:hAnsi="方正小标宋_GBK" w:eastAsia="方正小标宋_GBK" w:cs="方正小标宋_GBK"/>
          <w:b w:val="0"/>
          <w:bCs w:val="0"/>
          <w:snapToGrid/>
          <w:spacing w:val="0"/>
          <w:sz w:val="44"/>
          <w:szCs w:val="44"/>
          <w:shd w:val="clear" w:fill="FFFFFF"/>
        </w:rPr>
        <w:t>说明</w:t>
      </w:r>
    </w:p>
    <w:p>
      <w:pPr>
        <w:keepNext w:val="0"/>
        <w:keepLines w:val="0"/>
        <w:pageBreakBefore w:val="0"/>
        <w:widowControl w:val="0"/>
        <w:wordWrap/>
        <w:overflowPunct/>
        <w:topLinePunct w:val="0"/>
        <w:autoSpaceDE w:val="0"/>
        <w:bidi w:val="0"/>
        <w:snapToGrid w:val="0"/>
        <w:spacing w:line="600" w:lineRule="exact"/>
        <w:ind w:left="0" w:right="0" w:firstLine="420" w:firstLineChars="200"/>
        <w:jc w:val="both"/>
        <w:rPr>
          <w:rFonts w:hint="default" w:ascii="Times New Roman" w:hAnsi="Times New Roman" w:cs="Times New Roman"/>
          <w:spacing w:val="0"/>
          <w:sz w:val="21"/>
        </w:r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一、部门基本情况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（一）职能职责</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负责协助做好基层治理指挥中心日常工作。负责协助开展区城化党建、机关事业党建、社区</w:t>
      </w:r>
      <w:bookmarkStart w:id="0" w:name="_GoBack"/>
      <w:bookmarkEnd w:id="0"/>
      <w:r>
        <w:rPr>
          <w:rFonts w:hint="default" w:ascii="Times New Roman" w:hAnsi="Times New Roman" w:eastAsia="方正仿宋_GBK" w:cs="Times New Roman"/>
          <w:snapToGrid w:val="0"/>
          <w:color w:val="000000"/>
          <w:spacing w:val="0"/>
          <w:kern w:val="0"/>
          <w:sz w:val="31"/>
          <w:szCs w:val="31"/>
          <w:lang w:val="en-US" w:eastAsia="en-US" w:bidi="ar-SA"/>
        </w:rPr>
        <w:t>党建、非公有制经济组织和社会组织党建等日常组织、协调、联络和服务工作。开展新时代文明实践活动和精神文明创建。协助开展党员队伍建设服务和党员教育培训。做好工会、共青团、妇联等群团组织服务工作。承担街道党工委、办事处交办的其他任务。</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（二）机构设置</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重庆市渝中区南纪门街道新时代文明实践中心为南纪门街道办事处所属的事业单位，共有工作人员7人，其中参公编制7人。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（三）单位构成</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从预算单位构成看，本部门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年度预算编制时无二级预算单位。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二、部门决算情况说明</w:t>
      </w:r>
    </w:p>
    <w:p>
      <w:pPr>
        <w:keepNext w:val="0"/>
        <w:keepLines w:val="0"/>
        <w:pageBreakBefore w:val="0"/>
        <w:widowControl w:val="0"/>
        <w:wordWrap/>
        <w:overflowPunct/>
        <w:topLinePunct w:val="0"/>
        <w:autoSpaceDE w:val="0"/>
        <w:bidi w:val="0"/>
        <w:snapToGrid w:val="0"/>
        <w:spacing w:line="600" w:lineRule="exact"/>
        <w:ind w:right="0"/>
        <w:jc w:val="both"/>
        <w:rPr>
          <w:rFonts w:hint="default" w:ascii="Times New Roman" w:hAnsi="Times New Roman" w:eastAsia="方正黑体_GBK" w:cs="Times New Roman"/>
          <w:spacing w:val="0"/>
          <w:sz w:val="31"/>
          <w:szCs w:val="31"/>
        </w:rPr>
        <w:sectPr>
          <w:footerReference r:id="rId3" w:type="default"/>
          <w:pgSz w:w="11915" w:h="16840"/>
          <w:pgMar w:top="1984" w:right="1417" w:bottom="1644" w:left="1417" w:header="0" w:footer="857" w:gutter="0"/>
          <w:pgNumType w:fmt="decimal"/>
          <w:cols w:space="720" w:num="1"/>
        </w:sect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（一）收入支出决算总体情况说明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总体情况。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年度收入总计</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支出总计</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万元。收支较上年决算数</w:t>
      </w:r>
      <w:r>
        <w:rPr>
          <w:rFonts w:hint="eastAsia" w:ascii="Times New Roman" w:hAnsi="Times New Roman" w:cs="Times New Roman"/>
          <w:spacing w:val="0"/>
          <w:lang w:val="en-US" w:eastAsia="zh-CN"/>
        </w:rPr>
        <w:t>增加162.9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年度收入合计</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增加162.9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其中：财政拨款收入</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万元，占</w:t>
      </w:r>
      <w:r>
        <w:rPr>
          <w:rFonts w:hint="default" w:ascii="Times New Roman" w:hAnsi="Times New Roman" w:eastAsia="Times New Roman" w:cs="Times New Roman"/>
          <w:spacing w:val="0"/>
        </w:rPr>
        <w:t>100.00%</w:t>
      </w:r>
      <w:r>
        <w:rPr>
          <w:rFonts w:hint="default" w:ascii="Times New Roman" w:hAnsi="Times New Roman" w:cs="Times New Roman"/>
          <w:spacing w:val="0"/>
        </w:rPr>
        <w:t>；事业收入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；经营收入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；其他收入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。此外，使用非财政拨款结余和专用结余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万元，年初结转和结余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年度支出合计</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增加162.9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其中：基本支出</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；项目支出</w:t>
      </w:r>
      <w:r>
        <w:rPr>
          <w:rFonts w:hint="eastAsia" w:ascii="Times New Roman" w:hAnsi="Times New Roman" w:cs="Times New Roman"/>
          <w:spacing w:val="0"/>
          <w:lang w:val="en-US" w:eastAsia="zh-CN"/>
        </w:rPr>
        <w:t>0.00万</w:t>
      </w:r>
      <w:r>
        <w:rPr>
          <w:rFonts w:hint="default" w:ascii="Times New Roman" w:hAnsi="Times New Roman" w:cs="Times New Roman"/>
          <w:spacing w:val="0"/>
        </w:rPr>
        <w:t>元，占</w:t>
      </w:r>
      <w:r>
        <w:rPr>
          <w:rFonts w:hint="eastAsia" w:ascii="Times New Roman" w:hAnsi="Times New Roman" w:eastAsia="宋体" w:cs="Times New Roman"/>
          <w:spacing w:val="0"/>
          <w:lang w:val="en-US" w:eastAsia="zh-CN"/>
        </w:rPr>
        <w:t>0.00</w:t>
      </w:r>
      <w:r>
        <w:rPr>
          <w:rFonts w:hint="default" w:ascii="Times New Roman" w:hAnsi="Times New Roman" w:eastAsia="Times New Roman" w:cs="Times New Roman"/>
          <w:spacing w:val="0"/>
        </w:rPr>
        <w:t>%</w:t>
      </w:r>
      <w:r>
        <w:rPr>
          <w:rFonts w:hint="default" w:ascii="Times New Roman" w:hAnsi="Times New Roman" w:cs="Times New Roman"/>
          <w:spacing w:val="0"/>
        </w:rPr>
        <w:t>；经营支出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。此外，结余分配</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（二）财政拨款收入支出决算总体情况说明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年度财政拨款收、支总计</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万元。与</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年相比，财政拨款收、支总计各</w:t>
      </w:r>
      <w:r>
        <w:rPr>
          <w:rFonts w:hint="eastAsia" w:ascii="Times New Roman" w:hAnsi="Times New Roman" w:cs="Times New Roman"/>
          <w:spacing w:val="0"/>
          <w:lang w:val="en-US" w:eastAsia="zh-CN"/>
        </w:rPr>
        <w:t>增加162.9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（三）一般公共预算财政拨款收入支出决算情况说明</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eastAsia" w:ascii="Times New Roman" w:hAnsi="Times New Roman" w:cs="Times New Roman"/>
          <w:spacing w:val="0"/>
          <w:lang w:eastAsia="zh-CN"/>
        </w:rPr>
      </w:pP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年度一般公共预算财政拨款收入</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增加162.9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leftChars="0" w:right="0" w:rightChars="0" w:firstLine="622" w:firstLineChars="200"/>
        <w:jc w:val="both"/>
        <w:textAlignment w:val="baseline"/>
        <w:rPr>
          <w:rFonts w:hint="default" w:ascii="Times New Roman" w:hAnsi="Times New Roman" w:cs="Times New Roman"/>
          <w:spacing w:val="0"/>
          <w:lang w:val="en-US"/>
        </w:rPr>
      </w:pP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w:t>
      </w:r>
      <w:r>
        <w:rPr>
          <w:rFonts w:hint="eastAsia" w:ascii="Times New Roman" w:hAnsi="Times New Roman" w:cs="Times New Roman"/>
          <w:spacing w:val="0"/>
          <w:lang w:val="en-US" w:eastAsia="zh-CN"/>
        </w:rPr>
        <w:t>162.9</w:t>
      </w:r>
      <w:r>
        <w:rPr>
          <w:rFonts w:hint="default" w:ascii="Times New Roman" w:hAnsi="Times New Roman" w:cs="Times New Roman"/>
          <w:spacing w:val="0"/>
        </w:rPr>
        <w:t>万</w:t>
      </w:r>
      <w:r>
        <w:rPr>
          <w:rFonts w:hint="eastAsia" w:ascii="Times New Roman" w:hAnsi="Times New Roman" w:cs="Times New Roman"/>
          <w:spacing w:val="0"/>
          <w:lang w:val="en-US" w:eastAsia="zh-CN"/>
        </w:rPr>
        <w:t>元，</w:t>
      </w:r>
      <w:r>
        <w:rPr>
          <w:rFonts w:hint="default" w:ascii="Times New Roman" w:hAnsi="Times New Roman" w:cs="Times New Roman"/>
          <w:spacing w:val="0"/>
        </w:rPr>
        <w:t>较上年决算数</w:t>
      </w:r>
      <w:r>
        <w:rPr>
          <w:rFonts w:hint="eastAsia" w:ascii="Times New Roman" w:hAnsi="Times New Roman" w:cs="Times New Roman"/>
          <w:spacing w:val="0"/>
          <w:lang w:val="en-US" w:eastAsia="zh-CN"/>
        </w:rPr>
        <w:t>增加162.9</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年度年末一般公共预算财政拨款结转和结余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比较情况。</w:t>
      </w: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年度一般公共预算财政拨款支出主要用于以下几个方面：</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eastAsia" w:ascii="Times New Roman" w:hAnsi="Times New Roman" w:cs="Times New Roman"/>
          <w:spacing w:val="0"/>
          <w:lang w:val="en-US" w:eastAsia="zh-CN"/>
        </w:rPr>
      </w:pPr>
      <w:r>
        <w:rPr>
          <w:rFonts w:hint="default" w:ascii="Times New Roman" w:hAnsi="Times New Roman" w:cs="Times New Roman"/>
          <w:spacing w:val="0"/>
          <w:highlight w:val="none"/>
        </w:rPr>
        <w:t>一般公共服务支出</w:t>
      </w:r>
      <w:r>
        <w:rPr>
          <w:rFonts w:hint="eastAsia" w:ascii="Times New Roman" w:hAnsi="Times New Roman" w:cs="Times New Roman"/>
          <w:spacing w:val="0"/>
          <w:lang w:val="en-US" w:eastAsia="zh-CN"/>
        </w:rPr>
        <w:t>127.67</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占</w:t>
      </w:r>
      <w:r>
        <w:rPr>
          <w:rFonts w:hint="eastAsia" w:ascii="Times New Roman" w:hAnsi="Times New Roman" w:cs="Times New Roman"/>
          <w:spacing w:val="0"/>
          <w:lang w:val="en-US" w:eastAsia="zh-CN"/>
        </w:rPr>
        <w:t>78.32</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增加127.67</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lang w:val="en-US" w:eastAsia="zh-CN"/>
        </w:rPr>
        <w:t>社会保障和就业支出</w:t>
      </w:r>
      <w:r>
        <w:rPr>
          <w:rFonts w:hint="eastAsia" w:ascii="Times New Roman" w:hAnsi="Times New Roman" w:cs="Times New Roman"/>
          <w:spacing w:val="0"/>
          <w:lang w:val="en-US" w:eastAsia="zh-CN"/>
        </w:rPr>
        <w:t>10.15万元，占6.22%，较年初预算增加10.15万元，增长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卫生健康支出</w:t>
      </w:r>
      <w:r>
        <w:rPr>
          <w:rFonts w:hint="eastAsia" w:ascii="Times New Roman" w:hAnsi="Times New Roman" w:cs="Times New Roman"/>
          <w:spacing w:val="0"/>
          <w:lang w:val="en-US" w:eastAsia="zh-CN"/>
        </w:rPr>
        <w:t>10.82</w:t>
      </w:r>
      <w:r>
        <w:rPr>
          <w:rFonts w:hint="default" w:ascii="Times New Roman" w:hAnsi="Times New Roman" w:cs="Times New Roman"/>
          <w:spacing w:val="0"/>
        </w:rPr>
        <w:t>万元，占</w:t>
      </w:r>
      <w:r>
        <w:rPr>
          <w:rFonts w:hint="eastAsia" w:ascii="Times New Roman" w:hAnsi="Times New Roman" w:cs="Times New Roman"/>
          <w:spacing w:val="0"/>
          <w:lang w:val="en-US" w:eastAsia="zh-CN"/>
        </w:rPr>
        <w:t>6.63</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增加10.82</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住房保障支出</w:t>
      </w:r>
      <w:r>
        <w:rPr>
          <w:rFonts w:hint="eastAsia" w:ascii="Times New Roman" w:hAnsi="Times New Roman" w:cs="Times New Roman"/>
          <w:spacing w:val="0"/>
          <w:lang w:val="en-US" w:eastAsia="zh-CN"/>
        </w:rPr>
        <w:t>14.26</w:t>
      </w:r>
      <w:r>
        <w:rPr>
          <w:rFonts w:hint="default" w:ascii="Times New Roman" w:hAnsi="Times New Roman" w:cs="Times New Roman"/>
          <w:spacing w:val="0"/>
        </w:rPr>
        <w:t>万元，占</w:t>
      </w:r>
      <w:r>
        <w:rPr>
          <w:rFonts w:hint="eastAsia" w:ascii="Times New Roman" w:hAnsi="Times New Roman" w:cs="Times New Roman"/>
          <w:spacing w:val="0"/>
          <w:lang w:val="en-US" w:eastAsia="zh-CN"/>
        </w:rPr>
        <w:t>8.74</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，较年初预算增加</w:t>
      </w:r>
      <w:r>
        <w:rPr>
          <w:rFonts w:hint="eastAsia" w:ascii="Times New Roman" w:hAnsi="Times New Roman" w:cs="Times New Roman"/>
          <w:spacing w:val="0"/>
          <w:lang w:val="en-US" w:eastAsia="zh-CN"/>
        </w:rPr>
        <w:t>14.26</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（四）一般公共预算财政拨款基本支出决算情况说明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highlight w:val="none"/>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年度一般公共财政拨款基本支出</w:t>
      </w:r>
      <w:r>
        <w:rPr>
          <w:rFonts w:hint="eastAsia" w:ascii="Times New Roman" w:hAnsi="Times New Roman" w:cs="Times New Roman"/>
          <w:spacing w:val="0"/>
          <w:lang w:val="en-US" w:eastAsia="zh-CN"/>
        </w:rPr>
        <w:t>162.9</w:t>
      </w:r>
      <w:r>
        <w:rPr>
          <w:rFonts w:hint="default" w:ascii="Times New Roman" w:hAnsi="Times New Roman" w:cs="Times New Roman"/>
          <w:spacing w:val="0"/>
        </w:rPr>
        <w:t>万元。其中：人员经费</w:t>
      </w:r>
      <w:r>
        <w:rPr>
          <w:rFonts w:hint="eastAsia" w:ascii="Times New Roman" w:hAnsi="Times New Roman" w:cs="Times New Roman"/>
          <w:spacing w:val="0"/>
          <w:lang w:val="en-US" w:eastAsia="zh-CN"/>
        </w:rPr>
        <w:t>115.83</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115.83</w:t>
      </w:r>
      <w:r>
        <w:rPr>
          <w:rFonts w:hint="default" w:ascii="Times New Roman" w:hAnsi="Times New Roman" w:cs="Times New Roman"/>
          <w:spacing w:val="0"/>
        </w:rPr>
        <w:t>万元</w:t>
      </w:r>
      <w:r>
        <w:rPr>
          <w:rFonts w:hint="default" w:ascii="Times New Roman" w:hAnsi="Times New Roman" w:cs="Times New Roman"/>
          <w:spacing w:val="0"/>
          <w:highlight w:val="none"/>
        </w:rPr>
        <w:t>，</w:t>
      </w:r>
      <w:r>
        <w:rPr>
          <w:rFonts w:hint="default" w:ascii="Times New Roman" w:hAnsi="Times New Roman" w:cs="Times New Roman"/>
          <w:spacing w:val="0"/>
        </w:rPr>
        <w:t>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rPr>
        <w:t>人员经费用途主要包括基本工资、津贴补贴、奖金、社会保障缴费、住房公积金、职业年金缴费等。</w:t>
      </w:r>
      <w:r>
        <w:rPr>
          <w:rFonts w:hint="default" w:ascii="Times New Roman" w:hAnsi="Times New Roman" w:cs="Times New Roman"/>
          <w:spacing w:val="0"/>
          <w:highlight w:val="none"/>
        </w:rPr>
        <w:t>公用经费</w:t>
      </w:r>
      <w:r>
        <w:rPr>
          <w:rFonts w:hint="eastAsia" w:ascii="Times New Roman" w:hAnsi="Times New Roman" w:cs="Times New Roman"/>
          <w:spacing w:val="0"/>
          <w:highlight w:val="none"/>
          <w:lang w:val="en-US" w:eastAsia="zh-CN"/>
        </w:rPr>
        <w:t>47.07</w:t>
      </w:r>
      <w:r>
        <w:rPr>
          <w:rFonts w:hint="default" w:ascii="Times New Roman" w:hAnsi="Times New Roman" w:cs="Times New Roman"/>
          <w:spacing w:val="0"/>
          <w:highlight w:val="none"/>
        </w:rPr>
        <w:t>万元，较上年决算数</w:t>
      </w:r>
      <w:r>
        <w:rPr>
          <w:rFonts w:hint="eastAsia" w:ascii="Times New Roman" w:hAnsi="Times New Roman" w:cs="Times New Roman"/>
          <w:spacing w:val="0"/>
          <w:highlight w:val="none"/>
          <w:lang w:val="en-US" w:eastAsia="zh-CN"/>
        </w:rPr>
        <w:t>增加47.07</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highlight w:val="none"/>
        </w:rPr>
        <w:t>公用经费用途主要包括办公费、水费、电费、邮电费、物业管理费、维修维护费、差旅费、培训费、工会经费等。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（五）政府性基金预算收支决算情况说明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w:t>
      </w:r>
      <w:r>
        <w:rPr>
          <w:rFonts w:hint="eastAsia" w:ascii="Times New Roman" w:hAnsi="Times New Roman" w:cs="Times New Roman"/>
          <w:spacing w:val="0"/>
          <w:lang w:val="en-US" w:eastAsia="zh-CN"/>
        </w:rPr>
        <w:t>政府性基金</w:t>
      </w:r>
      <w:r>
        <w:rPr>
          <w:rFonts w:hint="default" w:ascii="Times New Roman" w:hAnsi="Times New Roman" w:cs="Times New Roman"/>
          <w:spacing w:val="0"/>
        </w:rPr>
        <w:t>预算财政拨款支出。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rPr>
      </w:pPr>
      <w:r>
        <w:rPr>
          <w:rFonts w:hint="default" w:ascii="Times New Roman" w:hAnsi="Times New Roman" w:eastAsia="方正楷体_GBK" w:cs="Times New Roman"/>
          <w:spacing w:val="0"/>
        </w:rPr>
        <w:t>（六）国有资本经营预算财政拨款支出决算情况说明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年度无国有资本经营预算财政拨款支出。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经费情况说明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经费支出总体情况说明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eastAsia="Times New Roman" w:cs="Times New Roman"/>
          <w:spacing w:val="0"/>
        </w:rPr>
        <w:t>“</w:t>
      </w:r>
      <w:r>
        <w:rPr>
          <w:rFonts w:hint="default" w:ascii="Times New Roman" w:hAnsi="Times New Roman" w:cs="Times New Roman"/>
          <w:spacing w:val="0"/>
        </w:rPr>
        <w:t>三公</w:t>
      </w:r>
      <w:r>
        <w:rPr>
          <w:rFonts w:hint="default" w:ascii="Times New Roman" w:hAnsi="Times New Roman" w:eastAsia="Times New Roman" w:cs="Times New Roman"/>
          <w:spacing w:val="0"/>
        </w:rPr>
        <w:t>”</w:t>
      </w:r>
      <w:r>
        <w:rPr>
          <w:rFonts w:hint="default" w:ascii="Times New Roman" w:hAnsi="Times New Roman" w:cs="Times New Roman"/>
          <w:spacing w:val="0"/>
        </w:rPr>
        <w:t>经费支出共计</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经费分项支出情况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年度本部门因公出国（境）费用</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公务车购置费</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.00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公务车运行维护费</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公务接待费</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经费实物量情况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年度本部门因公出国（境）共计</w:t>
      </w:r>
      <w:r>
        <w:rPr>
          <w:rFonts w:hint="default" w:ascii="Times New Roman" w:hAnsi="Times New Roman" w:eastAsia="Times New Roman" w:cs="Times New Roman"/>
          <w:spacing w:val="0"/>
        </w:rPr>
        <w:t>0</w:t>
      </w:r>
      <w:r>
        <w:rPr>
          <w:rFonts w:hint="default" w:ascii="Times New Roman" w:hAnsi="Times New Roman" w:cs="Times New Roman"/>
          <w:spacing w:val="0"/>
        </w:rPr>
        <w:t>个团组，</w:t>
      </w:r>
      <w:r>
        <w:rPr>
          <w:rFonts w:hint="default" w:ascii="Times New Roman" w:hAnsi="Times New Roman" w:eastAsia="Times New Roman" w:cs="Times New Roman"/>
          <w:spacing w:val="0"/>
        </w:rPr>
        <w:t>0</w:t>
      </w:r>
      <w:r>
        <w:rPr>
          <w:rFonts w:hint="default" w:ascii="Times New Roman" w:hAnsi="Times New Roman" w:cs="Times New Roman"/>
          <w:spacing w:val="0"/>
        </w:rPr>
        <w:t>人；公务用车购置</w:t>
      </w:r>
      <w:r>
        <w:rPr>
          <w:rFonts w:hint="eastAsia" w:ascii="Times New Roman" w:hAnsi="Times New Roman" w:cs="Times New Roman"/>
          <w:spacing w:val="0"/>
          <w:lang w:val="en-US" w:eastAsia="zh-CN"/>
        </w:rPr>
        <w:t>0</w:t>
      </w:r>
      <w:r>
        <w:rPr>
          <w:rFonts w:hint="default" w:ascii="Times New Roman" w:hAnsi="Times New Roman" w:cs="Times New Roman"/>
          <w:spacing w:val="0"/>
        </w:rPr>
        <w:t>辆，公务车保有量为</w:t>
      </w:r>
      <w:r>
        <w:rPr>
          <w:rFonts w:hint="eastAsia" w:ascii="Times New Roman" w:hAnsi="Times New Roman" w:cs="Times New Roman"/>
          <w:spacing w:val="0"/>
          <w:lang w:val="en-US" w:eastAsia="zh-CN"/>
        </w:rPr>
        <w:t>0</w:t>
      </w:r>
      <w:r>
        <w:rPr>
          <w:rFonts w:hint="default" w:ascii="Times New Roman" w:hAnsi="Times New Roman" w:cs="Times New Roman"/>
          <w:spacing w:val="0"/>
        </w:rPr>
        <w:t>辆；国内公务接待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人，其中：国内外事接待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人；国（境）外公务接待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年本部门人均接待费</w:t>
      </w:r>
      <w:r>
        <w:rPr>
          <w:rFonts w:hint="default" w:ascii="Times New Roman" w:hAnsi="Times New Roman" w:eastAsia="Times New Roman" w:cs="Times New Roman"/>
          <w:spacing w:val="0"/>
        </w:rPr>
        <w:t>0</w:t>
      </w:r>
      <w:r>
        <w:rPr>
          <w:rFonts w:hint="default" w:ascii="Times New Roman" w:hAnsi="Times New Roman" w:cs="Times New Roman"/>
          <w:spacing w:val="0"/>
        </w:rPr>
        <w:t>元，车均购置费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万元，车均维护费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四、其他需要说明的事项</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（一）财政拨款会议费和培训费情况说明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本年度会议费支出</w:t>
      </w:r>
      <w:r>
        <w:rPr>
          <w:rFonts w:hint="eastAsia" w:ascii="Times New Roman" w:hAnsi="Times New Roman" w:cs="Times New Roman"/>
          <w:spacing w:val="0"/>
          <w:lang w:val="en-US" w:eastAsia="zh-CN"/>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2024年度未发生会议费用</w:t>
      </w:r>
      <w:r>
        <w:rPr>
          <w:rFonts w:hint="default" w:ascii="Times New Roman" w:hAnsi="Times New Roman" w:cs="Times New Roman"/>
          <w:spacing w:val="0"/>
        </w:rPr>
        <w:t>。本年度培训费支出</w:t>
      </w:r>
      <w:r>
        <w:rPr>
          <w:rFonts w:hint="default" w:ascii="Times New Roman" w:hAnsi="Times New Roman" w:eastAsia="Times New Roman" w:cs="Times New Roman"/>
          <w:spacing w:val="0"/>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2024年度未发生培训活动</w:t>
      </w:r>
      <w:r>
        <w:rPr>
          <w:rFonts w:hint="default" w:ascii="Times New Roman" w:hAnsi="Times New Roman" w:cs="Times New Roman"/>
          <w:spacing w:val="0"/>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（二）机关运行经费情况说明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cs="Times New Roman"/>
          <w:spacing w:val="0"/>
          <w:highlight w:val="none"/>
        </w:rPr>
        <w:t>本部门机关运行经费</w:t>
      </w:r>
      <w:r>
        <w:rPr>
          <w:rFonts w:hint="default" w:ascii="Times New Roman" w:hAnsi="Times New Roman" w:cs="Times New Roman"/>
          <w:spacing w:val="0"/>
        </w:rPr>
        <w:t>支出</w:t>
      </w:r>
      <w:r>
        <w:rPr>
          <w:rFonts w:hint="eastAsia" w:ascii="Times New Roman" w:hAnsi="Times New Roman" w:cs="Times New Roman"/>
          <w:spacing w:val="0"/>
          <w:highlight w:val="none"/>
          <w:lang w:val="en-US" w:eastAsia="zh-CN"/>
        </w:rPr>
        <w:t>47.07</w:t>
      </w:r>
      <w:r>
        <w:rPr>
          <w:rFonts w:hint="default" w:ascii="Times New Roman" w:hAnsi="Times New Roman" w:cs="Times New Roman"/>
          <w:spacing w:val="0"/>
          <w:highlight w:val="none"/>
        </w:rPr>
        <w:t>万元</w:t>
      </w:r>
      <w:r>
        <w:rPr>
          <w:rFonts w:hint="default" w:ascii="Times New Roman" w:hAnsi="Times New Roman" w:cs="Times New Roman"/>
          <w:spacing w:val="0"/>
        </w:rPr>
        <w:t>，机关运行经费主要用于开支办公费、印刷费、水费、电费、邮电费、物业管理费、差旅费、维修费、租赁费、劳务费、委托业务费、工会经费等。机关运行经费</w:t>
      </w:r>
      <w:r>
        <w:rPr>
          <w:rFonts w:hint="default" w:ascii="Times New Roman" w:hAnsi="Times New Roman" w:cs="Times New Roman"/>
          <w:spacing w:val="0"/>
          <w:highlight w:val="none"/>
        </w:rPr>
        <w:t>较上年决算数</w:t>
      </w:r>
      <w:r>
        <w:rPr>
          <w:rFonts w:hint="eastAsia" w:ascii="Times New Roman" w:hAnsi="Times New Roman" w:cs="Times New Roman"/>
          <w:spacing w:val="0"/>
          <w:highlight w:val="none"/>
          <w:lang w:val="en-US" w:eastAsia="zh-CN"/>
        </w:rPr>
        <w:t>增加47.07</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（三）国有资产占用情况说明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截至</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w:t>
      </w:r>
      <w:r>
        <w:rPr>
          <w:rFonts w:hint="default" w:ascii="Times New Roman" w:hAnsi="Times New Roman" w:eastAsia="Times New Roman" w:cs="Times New Roman"/>
          <w:spacing w:val="0"/>
        </w:rPr>
        <w:t>12</w:t>
      </w:r>
      <w:r>
        <w:rPr>
          <w:rFonts w:hint="default" w:ascii="Times New Roman" w:hAnsi="Times New Roman" w:cs="Times New Roman"/>
          <w:spacing w:val="0"/>
        </w:rPr>
        <w:t>月</w:t>
      </w:r>
      <w:r>
        <w:rPr>
          <w:rFonts w:hint="default" w:ascii="Times New Roman" w:hAnsi="Times New Roman" w:eastAsia="Times New Roman" w:cs="Times New Roman"/>
          <w:spacing w:val="0"/>
        </w:rPr>
        <w:t>31</w:t>
      </w:r>
      <w:r>
        <w:rPr>
          <w:rFonts w:hint="default" w:ascii="Times New Roman" w:hAnsi="Times New Roman" w:cs="Times New Roman"/>
          <w:spacing w:val="0"/>
        </w:rPr>
        <w:t>日，本部门共有车辆</w:t>
      </w:r>
      <w:r>
        <w:rPr>
          <w:rFonts w:hint="eastAsia" w:ascii="Times New Roman" w:hAnsi="Times New Roman" w:cs="Times New Roman"/>
          <w:spacing w:val="0"/>
          <w:lang w:val="en-US" w:eastAsia="zh-CN"/>
        </w:rPr>
        <w:t>0</w:t>
      </w:r>
      <w:r>
        <w:rPr>
          <w:rFonts w:hint="default" w:ascii="Times New Roman" w:hAnsi="Times New Roman" w:cs="Times New Roman"/>
          <w:spacing w:val="0"/>
        </w:rPr>
        <w:t>辆，其中，副部（省）级及以上领导用车</w:t>
      </w:r>
      <w:r>
        <w:rPr>
          <w:rFonts w:hint="default" w:ascii="Times New Roman" w:hAnsi="Times New Roman" w:eastAsia="Times New Roman" w:cs="Times New Roman"/>
          <w:spacing w:val="0"/>
        </w:rPr>
        <w:t>0</w:t>
      </w:r>
      <w:r>
        <w:rPr>
          <w:rFonts w:hint="default" w:ascii="Times New Roman" w:hAnsi="Times New Roman" w:cs="Times New Roman"/>
          <w:spacing w:val="0"/>
        </w:rPr>
        <w:t>辆、主要负责人用车</w:t>
      </w:r>
      <w:r>
        <w:rPr>
          <w:rFonts w:hint="default" w:ascii="Times New Roman" w:hAnsi="Times New Roman" w:eastAsia="Times New Roman" w:cs="Times New Roman"/>
          <w:spacing w:val="0"/>
        </w:rPr>
        <w:t>0</w:t>
      </w:r>
      <w:r>
        <w:rPr>
          <w:rFonts w:hint="default" w:ascii="Times New Roman" w:hAnsi="Times New Roman" w:cs="Times New Roman"/>
          <w:spacing w:val="0"/>
        </w:rPr>
        <w:t>辆、机要通信用车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辆、应急保障用车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辆、执法执勤用车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辆，特种专业技术用车</w:t>
      </w:r>
      <w:r>
        <w:rPr>
          <w:rFonts w:hint="default" w:ascii="Times New Roman" w:hAnsi="Times New Roman" w:eastAsia="Times New Roman" w:cs="Times New Roman"/>
          <w:spacing w:val="0"/>
        </w:rPr>
        <w:t>0</w:t>
      </w:r>
      <w:r>
        <w:rPr>
          <w:rFonts w:hint="default" w:ascii="Times New Roman" w:hAnsi="Times New Roman" w:cs="Times New Roman"/>
          <w:spacing w:val="0"/>
        </w:rPr>
        <w:t>辆，离退休干部用车</w:t>
      </w:r>
      <w:r>
        <w:rPr>
          <w:rFonts w:hint="default" w:ascii="Times New Roman" w:hAnsi="Times New Roman" w:eastAsia="Times New Roman" w:cs="Times New Roman"/>
          <w:spacing w:val="0"/>
        </w:rPr>
        <w:t>0</w:t>
      </w:r>
      <w:r>
        <w:rPr>
          <w:rFonts w:hint="default" w:ascii="Times New Roman" w:hAnsi="Times New Roman" w:cs="Times New Roman"/>
          <w:spacing w:val="0"/>
        </w:rPr>
        <w:t>辆。单价</w:t>
      </w:r>
      <w:r>
        <w:rPr>
          <w:rFonts w:hint="default" w:ascii="Times New Roman" w:hAnsi="Times New Roman" w:eastAsia="Times New Roman" w:cs="Times New Roman"/>
          <w:spacing w:val="0"/>
        </w:rPr>
        <w:t>100</w:t>
      </w:r>
      <w:r>
        <w:rPr>
          <w:rFonts w:hint="default" w:ascii="Times New Roman" w:hAnsi="Times New Roman" w:cs="Times New Roman"/>
          <w:spacing w:val="0"/>
        </w:rPr>
        <w:t>万元（含）以上专用设备</w:t>
      </w:r>
      <w:r>
        <w:rPr>
          <w:rFonts w:hint="default" w:ascii="Times New Roman" w:hAnsi="Times New Roman" w:eastAsia="Times New Roman" w:cs="Times New Roman"/>
          <w:spacing w:val="0"/>
        </w:rPr>
        <w:t>0</w:t>
      </w:r>
      <w:r>
        <w:rPr>
          <w:rFonts w:hint="default" w:ascii="Times New Roman" w:hAnsi="Times New Roman" w:cs="Times New Roman"/>
          <w:spacing w:val="0"/>
        </w:rPr>
        <w:t>台（套）。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（四）政府采购支出情况说明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年度本部门政府采购支出总额</w:t>
      </w:r>
      <w:r>
        <w:rPr>
          <w:rFonts w:hint="eastAsia" w:ascii="Times New Roman" w:hAnsi="Times New Roman" w:cs="Times New Roman"/>
          <w:spacing w:val="0"/>
          <w:lang w:val="en-US" w:eastAsia="zh-CN"/>
        </w:rPr>
        <w:t>0.00</w:t>
      </w:r>
      <w:r>
        <w:rPr>
          <w:rFonts w:hint="default" w:ascii="Times New Roman" w:hAnsi="Times New Roman" w:cs="Times New Roman"/>
          <w:spacing w:val="0"/>
        </w:rPr>
        <w:t>万元，其中：政府采购货物支出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万元、政府采购工程支出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万元、政府采购服务支出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五、预算绩效管理情况说明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（一）预算绩效管理工作开展情况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eastAsia" w:ascii="Times New Roman" w:hAnsi="Times New Roman" w:eastAsia="方正楷体_GBK" w:cs="Times New Roman"/>
          <w:spacing w:val="0"/>
          <w:sz w:val="31"/>
          <w:szCs w:val="31"/>
          <w:lang w:val="en-US" w:eastAsia="zh-CN"/>
        </w:rPr>
      </w:pPr>
      <w:r>
        <w:rPr>
          <w:rFonts w:hint="eastAsia" w:ascii="Times New Roman" w:hAnsi="Times New Roman" w:eastAsia="方正仿宋_GBK" w:cs="Times New Roman"/>
          <w:snapToGrid w:val="0"/>
          <w:color w:val="000000"/>
          <w:spacing w:val="0"/>
          <w:kern w:val="0"/>
          <w:sz w:val="31"/>
          <w:szCs w:val="31"/>
          <w:lang w:val="en-US" w:eastAsia="zh-CN" w:bidi="ar-SA"/>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（二）绩效自评结果</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1.</w:t>
      </w:r>
      <w:r>
        <w:rPr>
          <w:rFonts w:hint="default" w:ascii="Times New Roman" w:hAnsi="Times New Roman" w:cs="Times New Roman"/>
          <w:spacing w:val="0"/>
        </w:rPr>
        <w:t>绩效目标自评表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pStyle w:val="2"/>
        <w:keepNext w:val="0"/>
        <w:keepLines w:val="0"/>
        <w:pageBreakBefore w:val="0"/>
        <w:widowControl w:val="0"/>
        <w:numPr>
          <w:ilvl w:val="0"/>
          <w:numId w:val="3"/>
        </w:numPr>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绩效自评报告或案例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620" w:firstLineChars="200"/>
        <w:jc w:val="both"/>
        <w:textAlignment w:val="baseline"/>
        <w:rPr>
          <w:rFonts w:hint="default" w:ascii="Times New Roman" w:hAnsi="Times New Roman" w:cs="Times New Roman"/>
          <w:spacing w:val="0"/>
        </w:rPr>
      </w:pPr>
      <w:r>
        <w:rPr>
          <w:rFonts w:hint="eastAsia" w:ascii="Times New Roman" w:hAnsi="Times New Roman" w:cs="Times New Roman"/>
          <w:spacing w:val="0"/>
          <w:lang w:val="en-US" w:eastAsia="zh-CN"/>
        </w:rPr>
        <w:t>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3.</w:t>
      </w:r>
      <w:r>
        <w:rPr>
          <w:rFonts w:hint="default" w:ascii="Times New Roman" w:hAnsi="Times New Roman" w:cs="Times New Roman"/>
          <w:spacing w:val="0"/>
        </w:rPr>
        <w:t>关于绩效自评结果的说明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六、专业名词解释</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以下为常见专业名词解释目录，仅供参考。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（一）财政拨款收入</w:t>
      </w:r>
      <w:r>
        <w:rPr>
          <w:rFonts w:hint="default" w:ascii="Times New Roman" w:hAnsi="Times New Roman" w:eastAsia="楷体" w:cs="Times New Roman"/>
          <w:b/>
          <w:bCs/>
          <w:spacing w:val="0"/>
        </w:rPr>
        <w:t>：</w:t>
      </w:r>
      <w:r>
        <w:rPr>
          <w:rFonts w:hint="default" w:ascii="Times New Roman" w:hAnsi="Times New Roman" w:cs="Times New Roman"/>
          <w:spacing w:val="0"/>
        </w:rPr>
        <w:t>指本年度从本级财政部门取得的财政拨款，包括一般公共预算财政拨款和政府性基金预算财政拨款。</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（二）事业收入</w:t>
      </w:r>
      <w:r>
        <w:rPr>
          <w:rFonts w:hint="default" w:ascii="Times New Roman" w:hAnsi="Times New Roman" w:eastAsia="楷体" w:cs="Times New Roman"/>
          <w:spacing w:val="0"/>
        </w:rPr>
        <w:t>：</w:t>
      </w:r>
      <w:r>
        <w:rPr>
          <w:rFonts w:hint="default" w:ascii="Times New Roman" w:hAnsi="Times New Roman" w:cs="Times New Roman"/>
          <w:spacing w:val="0"/>
        </w:rPr>
        <w:t>指事业单位开展专业业务活动及其辅助活动取得的现金流入；事业单位收到的财政专户实际核拨的教育收费等资金在此反映。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（三）经营收入</w:t>
      </w:r>
      <w:r>
        <w:rPr>
          <w:rFonts w:hint="default" w:ascii="Times New Roman" w:hAnsi="Times New Roman" w:eastAsia="楷体" w:cs="Times New Roman"/>
          <w:spacing w:val="0"/>
        </w:rPr>
        <w:t>：</w:t>
      </w:r>
      <w:r>
        <w:rPr>
          <w:rFonts w:hint="default" w:ascii="Times New Roman" w:hAnsi="Times New Roman" w:cs="Times New Roman"/>
          <w:spacing w:val="0"/>
        </w:rPr>
        <w:t>指事业单位在专业业务活动及其辅助活动之外开展非独立核算经营活动取得的现金流入。</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（四）其他收入</w:t>
      </w:r>
      <w:r>
        <w:rPr>
          <w:rFonts w:hint="default" w:ascii="Times New Roman" w:hAnsi="Times New Roman" w:eastAsia="楷体" w:cs="Times New Roman"/>
          <w:spacing w:val="0"/>
        </w:rPr>
        <w:t>：</w:t>
      </w:r>
      <w:r>
        <w:rPr>
          <w:rFonts w:hint="default" w:ascii="Times New Roman" w:hAnsi="Times New Roman" w:cs="Times New Roman"/>
          <w:spacing w:val="0"/>
        </w:rPr>
        <w:t>指单位取得的除</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楷体" w:cs="Times New Roman"/>
          <w:spacing w:val="0"/>
        </w:rPr>
        <w:t>（</w:t>
      </w:r>
      <w:r>
        <w:rPr>
          <w:rFonts w:hint="default" w:ascii="Times New Roman" w:hAnsi="Times New Roman" w:eastAsia="方正楷体_GBK" w:cs="Times New Roman"/>
          <w:spacing w:val="0"/>
        </w:rPr>
        <w:t>五）使用非财政拨款结余：</w:t>
      </w:r>
      <w:r>
        <w:rPr>
          <w:rFonts w:hint="default" w:ascii="Times New Roman" w:hAnsi="Times New Roman" w:cs="Times New Roman"/>
          <w:spacing w:val="0"/>
        </w:rPr>
        <w:t>指单位在当年的</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其他收入</w:t>
      </w:r>
      <w:r>
        <w:rPr>
          <w:rFonts w:hint="default" w:ascii="Times New Roman" w:hAnsi="Times New Roman" w:eastAsia="Times New Roman" w:cs="Times New Roman"/>
          <w:spacing w:val="0"/>
        </w:rPr>
        <w:t>”</w:t>
      </w:r>
      <w:r>
        <w:rPr>
          <w:rFonts w:hint="default" w:ascii="Times New Roman" w:hAnsi="Times New Roman" w:cs="Times New Roman"/>
          <w:spacing w:val="0"/>
        </w:rPr>
        <w:t>等不足以安排当年支出的情况下，使用以前年度积累的非财政拨款结余弥补本年度收支缺口的资金。</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（六）年初结转和结余：</w:t>
      </w:r>
      <w:r>
        <w:rPr>
          <w:rFonts w:hint="default" w:ascii="Times New Roman" w:hAnsi="Times New Roman" w:cs="Times New Roman"/>
          <w:spacing w:val="0"/>
        </w:rPr>
        <w:t>指单位上年结转本年使用的基本</w:t>
      </w:r>
      <w:r>
        <w:rPr>
          <w:rFonts w:hint="eastAsia" w:ascii="Times New Roman" w:hAnsi="Times New Roman" w:cs="Times New Roman"/>
          <w:spacing w:val="0"/>
          <w:lang w:val="en-US" w:eastAsia="zh-CN"/>
        </w:rPr>
        <w:t>支</w:t>
      </w:r>
      <w:r>
        <w:rPr>
          <w:rFonts w:hint="default" w:ascii="Times New Roman" w:hAnsi="Times New Roman" w:cs="Times New Roman"/>
          <w:spacing w:val="0"/>
        </w:rPr>
        <w:t>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（七）结余分配：</w:t>
      </w:r>
      <w:r>
        <w:rPr>
          <w:rFonts w:hint="default" w:ascii="Times New Roman" w:hAnsi="Times New Roman" w:cs="Times New Roman"/>
          <w:spacing w:val="0"/>
        </w:rPr>
        <w:t>指单位按照国家有关规定，缴纳所得税、提取专用基金、转入非财政拨款结余等当年结余的分配情况。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（八）年末结转和结余：</w:t>
      </w:r>
      <w:r>
        <w:rPr>
          <w:rFonts w:hint="default" w:ascii="Times New Roman" w:hAnsi="Times New Roman" w:cs="Times New Roman"/>
          <w:spacing w:val="0"/>
        </w:rPr>
        <w:t>指单位结转下年的基本支出结转、项目支出结转和结余、经营结余。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（九）基本支出：</w:t>
      </w:r>
      <w:r>
        <w:rPr>
          <w:rFonts w:hint="default" w:ascii="Times New Roman" w:hAnsi="Times New Roman" w:cs="Times New Roman"/>
          <w:spacing w:val="0"/>
        </w:rPr>
        <w:t>指为保障机构正常运转、完成日常工作任务而发生的人员经费和公用经费。其中：人员经费指政府收支分类经济科目中的</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；公用经费指政府收支分类经济科目中除</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外的其他支出。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（十）项目支出：</w:t>
      </w:r>
      <w:r>
        <w:rPr>
          <w:rFonts w:hint="default" w:ascii="Times New Roman" w:hAnsi="Times New Roman" w:cs="Times New Roman"/>
          <w:spacing w:val="0"/>
        </w:rPr>
        <w:t>指在基本支出之外为完成特定行政任务和事业发展目标所发生的支出。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（十一）经营支出：</w:t>
      </w:r>
      <w:r>
        <w:rPr>
          <w:rFonts w:hint="default" w:ascii="Times New Roman" w:hAnsi="Times New Roman" w:cs="Times New Roman"/>
          <w:spacing w:val="0"/>
        </w:rPr>
        <w:t>指事业单位在专业业务活动及其辅助活动之外开展非独立核算经营活动发生的支出。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（十二）</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三公</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经费：</w:t>
      </w:r>
      <w:r>
        <w:rPr>
          <w:rFonts w:hint="default" w:ascii="Times New Roman" w:hAnsi="Times New Roman" w:cs="Times New Roman"/>
          <w:spacing w:val="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（十三）机关运行经费：</w:t>
      </w:r>
      <w:r>
        <w:rPr>
          <w:rFonts w:hint="default" w:ascii="Times New Roman" w:hAnsi="Times New Roman" w:cs="Times New Roman"/>
          <w:spacing w:val="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（十四）工资福利支出（支出经济分类科目类级）：</w:t>
      </w:r>
      <w:r>
        <w:rPr>
          <w:rFonts w:hint="default" w:ascii="Times New Roman" w:hAnsi="Times New Roman" w:cs="Times New Roman"/>
          <w:spacing w:val="0"/>
        </w:rPr>
        <w:t>反映单位开支的在职职工和编制外长期聘用人员的各类劳动报酬，以及为上述人员缴纳的各项社会保险费等。</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（十五）商品和服务支出（支出经济分类科目类级）：</w:t>
      </w:r>
      <w:r>
        <w:rPr>
          <w:rFonts w:hint="default" w:ascii="Times New Roman" w:hAnsi="Times New Roman" w:cs="Times New Roman"/>
          <w:spacing w:val="0"/>
        </w:rPr>
        <w:t>反映单位购买商品和服务的支出（不包括用于购置固定资产的支出、战略性和应急储备支出）。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（十六）对个人和家庭的补助（支出经济分类科目类级）：</w:t>
      </w:r>
      <w:r>
        <w:rPr>
          <w:rFonts w:hint="default" w:ascii="Times New Roman" w:hAnsi="Times New Roman" w:cs="Times New Roman"/>
          <w:spacing w:val="0"/>
        </w:rPr>
        <w:t>反映用于对个人和家庭的补助支出。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（十七）其他资本性支出（支出经济分类科目类级）：</w:t>
      </w:r>
      <w:r>
        <w:rPr>
          <w:rFonts w:hint="default" w:ascii="Times New Roman" w:hAnsi="Times New Roman" w:cs="Times New Roman"/>
          <w:spacing w:val="0"/>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七、决算公开联系方式及信息反馈渠道</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本单位决算公开信息反馈和联系方式：</w:t>
      </w:r>
      <w:r>
        <w:rPr>
          <w:rFonts w:hint="default" w:ascii="Times New Roman" w:hAnsi="Times New Roman" w:eastAsia="Times New Roman" w:cs="Times New Roman"/>
          <w:spacing w:val="0"/>
        </w:rPr>
        <w:t>023-63715321</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400" w:firstLineChars="200"/>
        <w:jc w:val="both"/>
        <w:rPr>
          <w:rFonts w:hint="default" w:ascii="Times New Roman" w:hAnsi="Times New Roman" w:eastAsia="宋体" w:cs="Times New Roman"/>
          <w:spacing w:val="0"/>
          <w:sz w:val="20"/>
          <w:szCs w:val="20"/>
        </w:rPr>
      </w:pPr>
    </w:p>
    <w:sectPr>
      <w:footerReference r:id="rId4" w:type="default"/>
      <w:pgSz w:w="11906" w:h="16838"/>
      <w:pgMar w:top="1984" w:right="1446" w:bottom="1644" w:left="1446" w:header="227" w:footer="62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66F1"/>
    <w:multiLevelType w:val="singleLevel"/>
    <w:tmpl w:val="C6C966F1"/>
    <w:lvl w:ilvl="0" w:tentative="0">
      <w:start w:val="2"/>
      <w:numFmt w:val="decimal"/>
      <w:lvlText w:val="%1."/>
      <w:lvlJc w:val="left"/>
      <w:pPr>
        <w:tabs>
          <w:tab w:val="left" w:pos="312"/>
        </w:tabs>
      </w:pPr>
    </w:lvl>
  </w:abstractNum>
  <w:abstractNum w:abstractNumId="1">
    <w:nsid w:val="CF0F2DC8"/>
    <w:multiLevelType w:val="singleLevel"/>
    <w:tmpl w:val="CF0F2DC8"/>
    <w:lvl w:ilvl="0" w:tentative="0">
      <w:start w:val="1"/>
      <w:numFmt w:val="decimal"/>
      <w:suff w:val="nothing"/>
      <w:lvlText w:val="（%1）"/>
      <w:lvlJc w:val="left"/>
    </w:lvl>
  </w:abstractNum>
  <w:abstractNum w:abstractNumId="2">
    <w:nsid w:val="39B3F525"/>
    <w:multiLevelType w:val="singleLevel"/>
    <w:tmpl w:val="39B3F525"/>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mODQzMTFiNTE5ODA0YjVlZTNjODE0Mzk0MzQ3MDAifQ=="/>
  </w:docVars>
  <w:rsids>
    <w:rsidRoot w:val="00000000"/>
    <w:rsid w:val="15172094"/>
    <w:rsid w:val="179430AE"/>
    <w:rsid w:val="225F789C"/>
    <w:rsid w:val="27D15316"/>
    <w:rsid w:val="28B400D2"/>
    <w:rsid w:val="4365792D"/>
    <w:rsid w:val="4BD430C5"/>
    <w:rsid w:val="4E867452"/>
    <w:rsid w:val="638C0851"/>
    <w:rsid w:val="6498339B"/>
    <w:rsid w:val="736D7101"/>
    <w:rsid w:val="7E111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2945</Words>
  <Characters>3560</Characters>
  <TotalTime>0</TotalTime>
  <ScaleCrop>false</ScaleCrop>
  <LinksUpToDate>false</LinksUpToDate>
  <CharactersWithSpaces>3805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2024-09-03T14:36:00Z</dcterms:created>
  <dc:creator>Administrator</dc:creator>
  <cp:lastModifiedBy>Lenovo</cp:lastModifiedBy>
  <dcterms:modified xsi:type="dcterms:W3CDTF">2025-10-17T06:59:44Z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2024-10-18T16:32:39Z</vt:filetime>
  </property>
  <property fmtid="{D5CDD505-2E9C-101B-9397-08002B2CF9AE}" pid="4" name="KSOProductBuildVer">
    <vt:lpwstr>2052-11.1.0.10314</vt:lpwstr>
  </property>
  <property fmtid="{D5CDD505-2E9C-101B-9397-08002B2CF9AE}" pid="5" name="ICV">
    <vt:lpwstr>E7973C131BA4497EACF54BAB4FD7F040_13</vt:lpwstr>
  </property>
  <property fmtid="{D5CDD505-2E9C-101B-9397-08002B2CF9AE}" pid="6" name="KSOTemplateDocerSaveRecord">
    <vt:lpwstr>eyJoZGlkIjoiYTFmNDhjOTgyZTNjYmI1OTg5MmMzNjhhYzE2ZGI5OTUiLCJ1c2VySWQiOiIyNjIyMjg2MTEifQ==</vt:lpwstr>
  </property>
</Properties>
</file>