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重庆市渝中区南纪门街道产业发展服务中心</w:t>
      </w: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p>
    <w:p>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ascii="微软雅黑" w:hAnsi="微软雅黑" w:eastAsia="微软雅黑" w:cs="微软雅黑"/>
          <w:i w:val="0"/>
          <w:caps w:val="0"/>
          <w:color w:val="171A1D"/>
          <w:spacing w:val="0"/>
          <w:sz w:val="21"/>
          <w:szCs w:val="21"/>
          <w:shd w:val="clear" w:fill="C9E7FF"/>
        </w:rPr>
      </w:pPr>
      <w:r>
        <w:rPr>
          <w:rFonts w:hint="default" w:ascii="Times New Roman" w:hAnsi="Times New Roman" w:eastAsia="方正仿宋_GBK" w:cs="Times New Roman"/>
          <w:snapToGrid w:val="0"/>
          <w:color w:val="000000"/>
          <w:spacing w:val="0"/>
          <w:kern w:val="0"/>
          <w:sz w:val="31"/>
          <w:szCs w:val="31"/>
          <w:lang w:val="en-US" w:eastAsia="en-US" w:bidi="ar-SA"/>
        </w:rPr>
        <w:t>负责开展企业服务、咨询、</w:t>
      </w:r>
      <w:bookmarkStart w:id="0" w:name="_GoBack"/>
      <w:bookmarkEnd w:id="0"/>
      <w:r>
        <w:rPr>
          <w:rFonts w:hint="default" w:ascii="Times New Roman" w:hAnsi="Times New Roman" w:eastAsia="方正仿宋_GBK" w:cs="Times New Roman"/>
          <w:snapToGrid w:val="0"/>
          <w:color w:val="000000"/>
          <w:spacing w:val="0"/>
          <w:kern w:val="0"/>
          <w:sz w:val="31"/>
          <w:szCs w:val="31"/>
          <w:lang w:val="en-US" w:eastAsia="en-US" w:bidi="ar-SA"/>
        </w:rPr>
        <w:t>走访等具体工作，摸排楼宇、企业实际情况。配合做好相关普查、统计、协税护税等工作。负责规划建设、生态环境保护、市容管理、物业管理等相关事务性工作。承担街道党工委、办事处交办的其他任务。</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重庆市渝中区南纪门街道产业发展服务中心为南纪门街道办事处所属的事业单位，重庆市渝中区南纪门街道产业发展服务中心共有工作人员7名，其中事业编制7名。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pPr>
        <w:keepNext w:val="0"/>
        <w:keepLines w:val="0"/>
        <w:pageBreakBefore w:val="0"/>
        <w:widowControl w:val="0"/>
        <w:wordWrap/>
        <w:overflowPunct/>
        <w:topLinePunct w:val="0"/>
        <w:autoSpaceDE w:val="0"/>
        <w:bidi w:val="0"/>
        <w:snapToGrid w:val="0"/>
        <w:spacing w:line="600" w:lineRule="exact"/>
        <w:ind w:right="0"/>
        <w:jc w:val="both"/>
        <w:rPr>
          <w:rFonts w:hint="default" w:ascii="Times New Roman" w:hAnsi="Times New Roman" w:eastAsia="方正黑体_GBK" w:cs="Times New Roman"/>
          <w:spacing w:val="0"/>
          <w:sz w:val="31"/>
          <w:szCs w:val="31"/>
        </w:rPr>
        <w:sectPr>
          <w:footerReference r:id="rId3" w:type="default"/>
          <w:pgSz w:w="11915" w:h="16840"/>
          <w:pgMar w:top="1984" w:right="1417" w:bottom="1644" w:left="1417" w:header="0" w:footer="857" w:gutter="0"/>
          <w:pgNumType w:fmt="decimal"/>
          <w:cols w:space="720" w:num="1"/>
        </w:sect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支出总计</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增加140.9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增加140.9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增加140.9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0.00万</w:t>
      </w:r>
      <w:r>
        <w:rPr>
          <w:rFonts w:hint="default" w:ascii="Times New Roman" w:hAnsi="Times New Roman" w:cs="Times New Roman"/>
          <w:spacing w:val="0"/>
        </w:rPr>
        <w:t>元，占</w:t>
      </w:r>
      <w:r>
        <w:rPr>
          <w:rFonts w:hint="eastAsia" w:ascii="Times New Roman" w:hAnsi="Times New Roman" w:eastAsia="宋体" w:cs="Times New Roman"/>
          <w:spacing w:val="0"/>
          <w:lang w:val="en-US" w:eastAsia="zh-CN"/>
        </w:rPr>
        <w:t>0.00</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增加162.9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eastAsia" w:ascii="Times New Roman" w:hAnsi="Times New Roman" w:cs="Times New Roman"/>
          <w:spacing w:val="0"/>
          <w:lang w:eastAsia="zh-CN"/>
        </w:rPr>
      </w:pP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增加140.9</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leftChars="0" w:right="0" w:rightChars="0" w:firstLine="622"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140.9</w:t>
      </w:r>
      <w:r>
        <w:rPr>
          <w:rFonts w:hint="default" w:ascii="Times New Roman" w:hAnsi="Times New Roman" w:cs="Times New Roman"/>
          <w:spacing w:val="0"/>
        </w:rPr>
        <w:t>万</w:t>
      </w:r>
      <w:r>
        <w:rPr>
          <w:rFonts w:hint="eastAsia" w:ascii="Times New Roman" w:hAnsi="Times New Roman" w:cs="Times New Roman"/>
          <w:spacing w:val="0"/>
          <w:lang w:val="en-US" w:eastAsia="zh-CN"/>
        </w:rPr>
        <w:t>元，</w:t>
      </w:r>
      <w:r>
        <w:rPr>
          <w:rFonts w:hint="default" w:ascii="Times New Roman" w:hAnsi="Times New Roman" w:cs="Times New Roman"/>
          <w:spacing w:val="0"/>
        </w:rPr>
        <w:t>较上年决算数</w:t>
      </w:r>
      <w:r>
        <w:rPr>
          <w:rFonts w:hint="eastAsia" w:ascii="Times New Roman" w:hAnsi="Times New Roman" w:cs="Times New Roman"/>
          <w:spacing w:val="0"/>
          <w:lang w:val="en-US" w:eastAsia="zh-CN"/>
        </w:rPr>
        <w:t>增加140.9</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eastAsia" w:ascii="Times New Roman" w:hAnsi="Times New Roman" w:cs="Times New Roman"/>
          <w:spacing w:val="0"/>
          <w:lang w:val="en-US" w:eastAsia="zh-CN"/>
        </w:rPr>
      </w:pPr>
      <w:r>
        <w:rPr>
          <w:rFonts w:hint="default" w:ascii="Times New Roman" w:hAnsi="Times New Roman" w:cs="Times New Roman"/>
          <w:spacing w:val="0"/>
          <w:highlight w:val="none"/>
        </w:rPr>
        <w:t>一般公共服务支出</w:t>
      </w:r>
      <w:r>
        <w:rPr>
          <w:rFonts w:hint="eastAsia" w:ascii="Times New Roman" w:hAnsi="Times New Roman" w:cs="Times New Roman"/>
          <w:spacing w:val="0"/>
          <w:lang w:val="en-US" w:eastAsia="zh-CN"/>
        </w:rPr>
        <w:t>116.35</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82.52</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增加116.35</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lang w:val="en-US" w:eastAsia="zh-CN"/>
        </w:rPr>
        <w:t>社会保障和就业支出</w:t>
      </w:r>
      <w:r>
        <w:rPr>
          <w:rFonts w:hint="eastAsia" w:ascii="Times New Roman" w:hAnsi="Times New Roman" w:cs="Times New Roman"/>
          <w:spacing w:val="0"/>
          <w:lang w:val="en-US" w:eastAsia="zh-CN"/>
        </w:rPr>
        <w:t>9.16万元，占6.5%，较年初预算增加9.16万元，增长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5.56</w:t>
      </w:r>
      <w:r>
        <w:rPr>
          <w:rFonts w:hint="default" w:ascii="Times New Roman" w:hAnsi="Times New Roman" w:cs="Times New Roman"/>
          <w:spacing w:val="0"/>
        </w:rPr>
        <w:t>万元，占</w:t>
      </w:r>
      <w:r>
        <w:rPr>
          <w:rFonts w:hint="eastAsia" w:ascii="Times New Roman" w:hAnsi="Times New Roman" w:cs="Times New Roman"/>
          <w:spacing w:val="0"/>
          <w:lang w:val="en-US" w:eastAsia="zh-CN"/>
        </w:rPr>
        <w:t>3.9</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增加5.56</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pStyle w:val="2"/>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住房保障支出</w:t>
      </w:r>
      <w:r>
        <w:rPr>
          <w:rFonts w:hint="eastAsia" w:ascii="Times New Roman" w:hAnsi="Times New Roman" w:cs="Times New Roman"/>
          <w:spacing w:val="0"/>
          <w:lang w:val="en-US" w:eastAsia="zh-CN"/>
        </w:rPr>
        <w:t>9.83</w:t>
      </w:r>
      <w:r>
        <w:rPr>
          <w:rFonts w:hint="default" w:ascii="Times New Roman" w:hAnsi="Times New Roman" w:cs="Times New Roman"/>
          <w:spacing w:val="0"/>
        </w:rPr>
        <w:t>万元，占</w:t>
      </w:r>
      <w:r>
        <w:rPr>
          <w:rFonts w:hint="eastAsia" w:ascii="Times New Roman" w:hAnsi="Times New Roman" w:cs="Times New Roman"/>
          <w:spacing w:val="0"/>
          <w:lang w:val="en-US" w:eastAsia="zh-CN"/>
        </w:rPr>
        <w:t>7</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eastAsia" w:ascii="Times New Roman" w:hAnsi="Times New Roman" w:cs="Times New Roman"/>
          <w:spacing w:val="0"/>
          <w:lang w:val="en-US" w:eastAsia="zh-CN"/>
        </w:rPr>
        <w:t>9.83</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eastAsia" w:ascii="Times New Roman" w:hAnsi="Times New Roman" w:cs="Times New Roman"/>
          <w:spacing w:val="0"/>
          <w:lang w:val="en-US" w:eastAsia="zh-CN"/>
        </w:rPr>
        <w:t>140.9</w:t>
      </w:r>
      <w:r>
        <w:rPr>
          <w:rFonts w:hint="default" w:ascii="Times New Roman" w:hAnsi="Times New Roman" w:cs="Times New Roman"/>
          <w:spacing w:val="0"/>
        </w:rPr>
        <w:t>万元。其中：人员经费</w:t>
      </w:r>
      <w:r>
        <w:rPr>
          <w:rFonts w:hint="eastAsia" w:ascii="Times New Roman" w:hAnsi="Times New Roman" w:cs="Times New Roman"/>
          <w:spacing w:val="0"/>
          <w:lang w:val="en-US" w:eastAsia="zh-CN"/>
        </w:rPr>
        <w:t>103.79</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103.79</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rPr>
        <w:t>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37.11</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增加37.11</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highlight w:val="none"/>
        </w:rPr>
        <w:t>公用经费用途主要包括办公费、水费、电费、邮电费、物业管理费、维修维护费、差旅费、培训费、工会经费等。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w:t>
      </w:r>
      <w:r>
        <w:rPr>
          <w:rFonts w:hint="eastAsia" w:ascii="Times New Roman" w:hAnsi="Times New Roman" w:cs="Times New Roman"/>
          <w:spacing w:val="0"/>
          <w:lang w:val="en-US" w:eastAsia="zh-CN"/>
        </w:rPr>
        <w:t>政府性基金</w:t>
      </w:r>
      <w:r>
        <w:rPr>
          <w:rFonts w:hint="default" w:ascii="Times New Roman" w:hAnsi="Times New Roman" w:cs="Times New Roman"/>
          <w:spacing w:val="0"/>
        </w:rPr>
        <w:t>预算财政拨款支出。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.00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0</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37.11</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增加37.11</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0</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cs="Times New Roman"/>
          <w:spacing w:val="0"/>
          <w:lang w:val="en-US" w:eastAsia="zh-CN"/>
        </w:rPr>
        <w:t>0.00</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万元、政府采购工程支出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eastAsia" w:ascii="Times New Roman" w:hAnsi="Times New Roman" w:eastAsia="方正楷体_GBK" w:cs="Times New Roman"/>
          <w:spacing w:val="0"/>
          <w:sz w:val="31"/>
          <w:szCs w:val="31"/>
          <w:lang w:val="en-US" w:eastAsia="zh-CN"/>
        </w:rPr>
      </w:pPr>
      <w:r>
        <w:rPr>
          <w:rFonts w:hint="eastAsia" w:ascii="Times New Roman" w:hAnsi="Times New Roman" w:eastAsia="方正仿宋_GBK" w:cs="Times New Roman"/>
          <w:snapToGrid w:val="0"/>
          <w:color w:val="000000"/>
          <w:spacing w:val="0"/>
          <w:kern w:val="0"/>
          <w:sz w:val="31"/>
          <w:szCs w:val="31"/>
          <w:lang w:val="en-US" w:eastAsia="zh-CN" w:bidi="ar-SA"/>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pStyle w:val="2"/>
        <w:keepNext w:val="0"/>
        <w:keepLines w:val="0"/>
        <w:pageBreakBefore w:val="0"/>
        <w:widowControl w:val="0"/>
        <w:numPr>
          <w:ilvl w:val="0"/>
          <w:numId w:val="3"/>
        </w:numPr>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绩效自评报告或案例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620" w:firstLineChars="200"/>
        <w:jc w:val="both"/>
        <w:textAlignment w:val="baseline"/>
        <w:rPr>
          <w:rFonts w:hint="default" w:ascii="Times New Roman" w:hAnsi="Times New Roman" w:cs="Times New Roman"/>
          <w:spacing w:val="0"/>
        </w:rPr>
      </w:pPr>
      <w:r>
        <w:rPr>
          <w:rFonts w:hint="eastAsia" w:ascii="Times New Roman" w:hAnsi="Times New Roman" w:cs="Times New Roman"/>
          <w:spacing w:val="0"/>
          <w:lang w:val="en-US" w:eastAsia="zh-CN"/>
        </w:rPr>
        <w:t>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023-63715321</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rPr>
      </w:pPr>
    </w:p>
    <w:sectPr>
      <w:footerReference r:id="rId4" w:type="default"/>
      <w:pgSz w:w="11906" w:h="16838"/>
      <w:pgMar w:top="1984" w:right="1446" w:bottom="1644" w:left="1446" w:header="227" w:footer="6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66F1"/>
    <w:multiLevelType w:val="singleLevel"/>
    <w:tmpl w:val="C6C966F1"/>
    <w:lvl w:ilvl="0" w:tentative="0">
      <w:start w:val="2"/>
      <w:numFmt w:val="decimal"/>
      <w:lvlText w:val="%1."/>
      <w:lvlJc w:val="left"/>
      <w:pPr>
        <w:tabs>
          <w:tab w:val="left" w:pos="312"/>
        </w:tabs>
      </w:pPr>
    </w:lvl>
  </w:abstractNum>
  <w:abstractNum w:abstractNumId="1">
    <w:nsid w:val="CF0F2DC8"/>
    <w:multiLevelType w:val="singleLevel"/>
    <w:tmpl w:val="CF0F2DC8"/>
    <w:lvl w:ilvl="0" w:tentative="0">
      <w:start w:val="1"/>
      <w:numFmt w:val="decimal"/>
      <w:suff w:val="nothing"/>
      <w:lvlText w:val="（%1）"/>
      <w:lvlJc w:val="left"/>
    </w:lvl>
  </w:abstractNum>
  <w:abstractNum w:abstractNumId="2">
    <w:nsid w:val="39B3F525"/>
    <w:multiLevelType w:val="singleLevel"/>
    <w:tmpl w:val="39B3F525"/>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5172094"/>
    <w:rsid w:val="225F789C"/>
    <w:rsid w:val="27D15316"/>
    <w:rsid w:val="28B400D2"/>
    <w:rsid w:val="32A96DDE"/>
    <w:rsid w:val="4365792D"/>
    <w:rsid w:val="4BD430C5"/>
    <w:rsid w:val="4E867452"/>
    <w:rsid w:val="638C0851"/>
    <w:rsid w:val="6498339B"/>
    <w:rsid w:val="736D7101"/>
    <w:rsid w:val="7D3A5045"/>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2945</Words>
  <Characters>3560</Characters>
  <TotalTime>0</TotalTime>
  <ScaleCrop>false</ScaleCrop>
  <LinksUpToDate>false</LinksUpToDate>
  <CharactersWithSpaces>3805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Lenovo</cp:lastModifiedBy>
  <dcterms:modified xsi:type="dcterms:W3CDTF">2025-10-17T07:00:27Z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2052-11.1.0.10314</vt:lpwstr>
  </property>
  <property fmtid="{D5CDD505-2E9C-101B-9397-08002B2CF9AE}" pid="5" name="ICV">
    <vt:lpwstr>E7973C131BA4497EACF54BAB4FD7F040_13</vt:lpwstr>
  </property>
  <property fmtid="{D5CDD505-2E9C-101B-9397-08002B2CF9AE}" pid="6" name="KSOTemplateDocerSaveRecord">
    <vt:lpwstr>eyJoZGlkIjoiYTFmNDhjOTgyZTNjYmI1OTg5MmMzNjhhYzE2ZGI5OTUiLCJ1c2VySWQiOiIyNjIyMjg2MTEifQ==</vt:lpwstr>
  </property>
</Properties>
</file>