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overflowPunct/>
        <w:topLinePunct w:val="0"/>
        <w:autoSpaceDN/>
        <w:bidi w:val="0"/>
        <w:adjustRightInd/>
        <w:spacing w:before="0" w:beforeAutospacing="0" w:after="0" w:afterAutospacing="0" w:line="594"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重庆市渝中区城市管理综合行政执法支队</w:t>
      </w:r>
    </w:p>
    <w:p>
      <w:pPr>
        <w:pStyle w:val="6"/>
        <w:keepNext w:val="0"/>
        <w:keepLines w:val="0"/>
        <w:pageBreakBefore w:val="0"/>
        <w:widowControl/>
        <w:kinsoku/>
        <w:overflowPunct/>
        <w:topLinePunct w:val="0"/>
        <w:autoSpaceDN/>
        <w:bidi w:val="0"/>
        <w:adjustRightInd/>
        <w:spacing w:before="0" w:beforeAutospacing="0" w:after="0" w:afterAutospacing="0" w:line="594"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rPr>
        <w:t>两路口大队</w:t>
      </w:r>
      <w:r>
        <w:rPr>
          <w:rFonts w:hint="default" w:ascii="Times New Roman" w:hAnsi="Times New Roman" w:eastAsia="方正小标宋_GBK" w:cs="Times New Roman"/>
          <w:sz w:val="44"/>
          <w:szCs w:val="44"/>
          <w:shd w:val="clear" w:color="auto" w:fill="FFFFFF"/>
        </w:rPr>
        <w:t>2024年度决算公开说明</w:t>
      </w:r>
    </w:p>
    <w:p>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3" w:firstLineChars="200"/>
        <w:rPr>
          <w:rStyle w:val="8"/>
          <w:rFonts w:hint="default" w:ascii="Times New Roman" w:hAnsi="Times New Roman" w:eastAsia="黑体" w:cs="Times New Roman"/>
          <w:sz w:val="32"/>
          <w:szCs w:val="32"/>
          <w:shd w:val="clear" w:color="auto" w:fill="FFFFFF"/>
        </w:rPr>
      </w:pPr>
    </w:p>
    <w:p>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一、部门基本情况</w:t>
      </w:r>
    </w:p>
    <w:p>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420"/>
        <w:rPr>
          <w:rFonts w:hint="default" w:ascii="Times New Roman" w:hAnsi="Times New Roman" w:eastAsia="方正楷体_GBK" w:cs="Times New Roman"/>
          <w:b w:val="0"/>
          <w:bCs/>
          <w:sz w:val="32"/>
          <w:szCs w:val="32"/>
        </w:rPr>
      </w:pPr>
      <w:r>
        <w:rPr>
          <w:rStyle w:val="8"/>
          <w:rFonts w:hint="default" w:ascii="Times New Roman" w:hAnsi="Times New Roman" w:eastAsia="方正楷体_GBK" w:cs="Times New Roman"/>
          <w:b w:val="0"/>
          <w:bCs/>
          <w:sz w:val="32"/>
          <w:szCs w:val="32"/>
          <w:shd w:val="clear" w:color="auto" w:fill="FFFFFF"/>
        </w:rPr>
        <w:t>（一）职能职责</w:t>
      </w:r>
    </w:p>
    <w:p>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420"/>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按照街道管辖范围，承担辖区内市政公用设施运行管理、市容环境卫生管理、城市供水排水、主城区规划城镇建设用地范围内的城市违法建筑、园林绿化（不含区城管局直管范围）等方面的执法职能，承担水务管理方面向城市河道倾倒废弃物和垃圾，生态环境方面露天烧烤污染、城市焚烧沥青塑料垃圾等烟尘和恶臭污染、露天焚烧秸秆落叶等烟尘污染，市场监管方面户外公共场所无照经营、违规设置户外广告、户外公共场所食品销售和餐饮摊点无证经营，交通管理方面侵占城市道路的执法职能。</w:t>
      </w:r>
    </w:p>
    <w:p>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楷体_GBK" w:cs="Times New Roman"/>
          <w:b w:val="0"/>
          <w:bCs/>
          <w:sz w:val="32"/>
          <w:szCs w:val="32"/>
        </w:rPr>
      </w:pPr>
      <w:r>
        <w:rPr>
          <w:rStyle w:val="8"/>
          <w:rFonts w:hint="default" w:ascii="Times New Roman" w:hAnsi="Times New Roman" w:eastAsia="方正楷体_GBK" w:cs="Times New Roman"/>
          <w:b w:val="0"/>
          <w:bCs/>
          <w:sz w:val="32"/>
          <w:szCs w:val="32"/>
          <w:shd w:val="clear" w:color="auto" w:fill="FFFFFF"/>
        </w:rPr>
        <w:t>（二）机构设置</w:t>
      </w:r>
    </w:p>
    <w:p>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2024年度本单位无下级预算单位。</w:t>
      </w:r>
    </w:p>
    <w:p>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8"/>
          <w:rFonts w:hint="default" w:ascii="Times New Roman" w:hAnsi="Times New Roman" w:eastAsia="方正黑体_GBK" w:cs="Times New Roman"/>
          <w:b w:val="0"/>
          <w:bCs/>
          <w:sz w:val="32"/>
          <w:szCs w:val="32"/>
          <w:shd w:val="clear" w:color="auto" w:fill="FFFFFF"/>
        </w:rPr>
        <w:t>二、部门决算收支情况说明</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（一）收入支出决算总体情况说明</w:t>
      </w:r>
    </w:p>
    <w:p>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2024年度收入总计302.35万元，支出总计</w:t>
      </w:r>
      <w:r>
        <w:rPr>
          <w:rFonts w:hint="default" w:ascii="Times New Roman" w:hAnsi="Times New Roman" w:eastAsia="方正仿宋_GBK" w:cs="Times New Roman"/>
          <w:sz w:val="32"/>
          <w:szCs w:val="32"/>
        </w:rPr>
        <w:t>302.35</w:t>
      </w:r>
      <w:r>
        <w:rPr>
          <w:rFonts w:hint="default" w:ascii="Times New Roman" w:hAnsi="Times New Roman" w:eastAsia="方正仿宋_GBK" w:cs="Times New Roman"/>
          <w:sz w:val="32"/>
          <w:szCs w:val="32"/>
          <w:shd w:val="clear" w:color="auto" w:fill="FFFFFF"/>
        </w:rPr>
        <w:t>万元。收、支与2023年度相比，增加302.35万元，增长100.0%，主要原因是</w:t>
      </w:r>
      <w:r>
        <w:rPr>
          <w:rFonts w:hint="default" w:ascii="Times New Roman" w:hAnsi="Times New Roman" w:eastAsia="仿宋_GB2312" w:cs="Times New Roman"/>
          <w:color w:val="auto"/>
          <w:sz w:val="32"/>
          <w:szCs w:val="32"/>
          <w:lang w:val="en-US" w:eastAsia="zh-CN"/>
        </w:rPr>
        <w:t>本年度年初未独立核算，年度执行中由于工作需要，本单位人员经费及公用经费独立核算。</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2024年度收入合计302.35万元，与2023年度相比，增加302.35万元，增长100.0%，主要原因是</w:t>
      </w:r>
      <w:r>
        <w:rPr>
          <w:rFonts w:hint="default" w:ascii="Times New Roman" w:hAnsi="Times New Roman" w:eastAsia="仿宋_GB2312" w:cs="Times New Roman"/>
          <w:color w:val="auto"/>
          <w:sz w:val="32"/>
          <w:szCs w:val="32"/>
          <w:lang w:val="en-US" w:eastAsia="zh-CN"/>
        </w:rPr>
        <w:t>本年度年初未独立核算，年度执行中由于工作需要，本单位人员经费及公用经费独立核算。</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302.35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302.35</w:t>
      </w:r>
      <w:r>
        <w:rPr>
          <w:rFonts w:hint="default" w:ascii="Times New Roman" w:hAnsi="Times New Roman" w:eastAsia="方正仿宋_GBK" w:cs="Times New Roman"/>
          <w:sz w:val="32"/>
          <w:szCs w:val="32"/>
          <w:shd w:val="clear" w:color="auto" w:fill="FFFFFF"/>
        </w:rPr>
        <w:t>万元，与2023年度相比，增加302.35万元，增长100.0%，主要原因是</w:t>
      </w:r>
      <w:r>
        <w:rPr>
          <w:rFonts w:hint="default" w:ascii="Times New Roman" w:hAnsi="Times New Roman" w:eastAsia="仿宋_GB2312" w:cs="Times New Roman"/>
          <w:color w:val="auto"/>
          <w:sz w:val="32"/>
          <w:szCs w:val="32"/>
          <w:lang w:val="en-US" w:eastAsia="zh-CN"/>
        </w:rPr>
        <w:t>本年度年初未独立核算，年度执行中由于工作需要，本单位人员经费及公用经费独立核算。</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302.35</w:t>
      </w:r>
      <w:r>
        <w:rPr>
          <w:rFonts w:hint="default" w:ascii="Times New Roman" w:hAnsi="Times New Roman" w:eastAsia="方正仿宋_GBK" w:cs="Times New Roman"/>
          <w:sz w:val="32"/>
          <w:szCs w:val="32"/>
          <w:shd w:val="clear" w:color="auto" w:fill="FFFFFF"/>
        </w:rPr>
        <w:t>万元，占100.00%；项目支出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lang w:eastAsia="zh-CN"/>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2024年度财政拨款收、支总计302.35万元。与2023年相比，增加302.35万元，增长100.0%</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仿宋_GB2312" w:cs="Times New Roman"/>
          <w:color w:val="auto"/>
          <w:sz w:val="32"/>
          <w:szCs w:val="32"/>
          <w:lang w:val="en-US" w:eastAsia="zh-CN"/>
        </w:rPr>
        <w:t>本年度年初未独立核算，年度执行中由于工作需要，本单位人员经费及公用经费独立核算。</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302.35</w:t>
      </w:r>
      <w:r>
        <w:rPr>
          <w:rFonts w:hint="default" w:ascii="Times New Roman" w:hAnsi="Times New Roman" w:eastAsia="方正仿宋_GBK" w:cs="Times New Roman"/>
          <w:sz w:val="32"/>
          <w:szCs w:val="32"/>
          <w:shd w:val="clear" w:color="auto" w:fill="FFFFFF"/>
        </w:rPr>
        <w:t>万元，与2023年度相比，增加302.35万元，增长100.0%</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仿宋_GB2312" w:cs="Times New Roman"/>
          <w:color w:val="auto"/>
          <w:sz w:val="32"/>
          <w:szCs w:val="32"/>
          <w:lang w:val="en-US" w:eastAsia="zh-CN"/>
        </w:rPr>
        <w:t>本年度年初未独立核算，年度执行中由于工作需要，本单位人员经费及公用经费独立核算。</w:t>
      </w:r>
      <w:r>
        <w:rPr>
          <w:rFonts w:hint="default" w:ascii="Times New Roman" w:hAnsi="Times New Roman" w:eastAsia="方正仿宋_GBK" w:cs="Times New Roman"/>
          <w:sz w:val="32"/>
          <w:szCs w:val="32"/>
          <w:shd w:val="clear" w:color="auto" w:fill="FFFFFF"/>
        </w:rPr>
        <w:t>较年初预算数增加302.35万元，增长100.0%</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仿宋_GB2312" w:cs="Times New Roman"/>
          <w:color w:val="auto"/>
          <w:sz w:val="32"/>
          <w:szCs w:val="32"/>
          <w:lang w:val="en-US" w:eastAsia="zh-CN"/>
        </w:rPr>
        <w:t>本年度年初未独立核算，年度执行中由于工作需要，本单位人员经费及公用经费独立核算。</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lang w:eastAsia="zh-CN"/>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302.35</w:t>
      </w:r>
      <w:r>
        <w:rPr>
          <w:rFonts w:hint="default" w:ascii="Times New Roman" w:hAnsi="Times New Roman" w:eastAsia="方正仿宋_GBK" w:cs="Times New Roman"/>
          <w:sz w:val="32"/>
          <w:szCs w:val="32"/>
          <w:shd w:val="clear" w:color="auto" w:fill="FFFFFF"/>
        </w:rPr>
        <w:t>万元，与2023年度相比，增加302.35万元，增长100.0%</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仿宋_GB2312" w:cs="Times New Roman"/>
          <w:color w:val="auto"/>
          <w:sz w:val="32"/>
          <w:szCs w:val="32"/>
          <w:lang w:val="en-US" w:eastAsia="zh-CN"/>
        </w:rPr>
        <w:t>本年度年初未独立核算，年度执行中由于工作需要，本单位人员经费及公用经费独立核算。</w:t>
      </w:r>
      <w:r>
        <w:rPr>
          <w:rFonts w:hint="default" w:ascii="Times New Roman" w:hAnsi="Times New Roman" w:eastAsia="方正仿宋_GBK" w:cs="Times New Roman"/>
          <w:sz w:val="32"/>
          <w:szCs w:val="32"/>
          <w:shd w:val="clear" w:color="auto" w:fill="FFFFFF"/>
        </w:rPr>
        <w:t>较年初预算数增加302.35万元，增长100.0%</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仿宋_GB2312" w:cs="Times New Roman"/>
          <w:color w:val="auto"/>
          <w:sz w:val="32"/>
          <w:szCs w:val="32"/>
          <w:lang w:val="en-US" w:eastAsia="zh-CN"/>
        </w:rPr>
        <w:t>本年度年初未独立核算，年度执行中由于工作需要，本单位人员经费及公用经费独立核算。</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lang w:eastAsia="zh-CN"/>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本部门2024年度一般公共预算财政拨款支出主要用于以下几个方面：</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219.85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72.71</w:t>
      </w:r>
      <w:r>
        <w:rPr>
          <w:rFonts w:hint="default" w:ascii="Times New Roman" w:hAnsi="Times New Roman" w:eastAsia="方正仿宋_GBK" w:cs="Times New Roman"/>
          <w:sz w:val="32"/>
          <w:szCs w:val="32"/>
          <w:shd w:val="clear" w:color="auto" w:fill="FFFFFF"/>
        </w:rPr>
        <w:t>%，较年初预算数增加219.85万元，增长100.0%，主要原因是</w:t>
      </w:r>
      <w:r>
        <w:rPr>
          <w:rFonts w:hint="default" w:ascii="Times New Roman" w:hAnsi="Times New Roman" w:eastAsia="仿宋_GB2312" w:cs="Times New Roman"/>
          <w:color w:val="auto"/>
          <w:sz w:val="32"/>
          <w:szCs w:val="32"/>
          <w:lang w:val="en-US" w:eastAsia="zh-CN"/>
        </w:rPr>
        <w:t>本年度年初未独立核算，年度执行中由于工作需要，本单位人员经费及公用经费独立核算。</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42.33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14.00</w:t>
      </w:r>
      <w:r>
        <w:rPr>
          <w:rFonts w:hint="default" w:ascii="Times New Roman" w:hAnsi="Times New Roman" w:eastAsia="方正仿宋_GBK" w:cs="Times New Roman"/>
          <w:sz w:val="32"/>
          <w:szCs w:val="32"/>
          <w:shd w:val="clear" w:color="auto" w:fill="FFFFFF"/>
        </w:rPr>
        <w:t>%，较年初预算数增加42.33万元，增长100.0%，主要原因是</w:t>
      </w:r>
      <w:r>
        <w:rPr>
          <w:rFonts w:hint="default" w:ascii="Times New Roman" w:hAnsi="Times New Roman" w:eastAsia="仿宋_GB2312" w:cs="Times New Roman"/>
          <w:color w:val="auto"/>
          <w:sz w:val="32"/>
          <w:szCs w:val="32"/>
          <w:lang w:val="en-US" w:eastAsia="zh-CN"/>
        </w:rPr>
        <w:t>本年度年初未独立核算，年度执行中由于工作需要，本单位人员经费独立核算。</w:t>
      </w:r>
    </w:p>
    <w:p>
      <w:pPr>
        <w:pStyle w:val="6"/>
        <w:keepNext w:val="0"/>
        <w:keepLines w:val="0"/>
        <w:pageBreakBefore w:val="0"/>
        <w:widowControl/>
        <w:numPr>
          <w:ilvl w:val="0"/>
          <w:numId w:val="0"/>
        </w:numPr>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15.17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5.02</w:t>
      </w:r>
      <w:r>
        <w:rPr>
          <w:rFonts w:hint="default" w:ascii="Times New Roman" w:hAnsi="Times New Roman" w:eastAsia="方正仿宋_GBK" w:cs="Times New Roman"/>
          <w:sz w:val="32"/>
          <w:szCs w:val="32"/>
          <w:shd w:val="clear" w:color="auto" w:fill="FFFFFF"/>
        </w:rPr>
        <w:t>%，较年初预算数增加15.17万元，增长100.0%，主要原因是</w:t>
      </w:r>
      <w:r>
        <w:rPr>
          <w:rFonts w:hint="default" w:ascii="Times New Roman" w:hAnsi="Times New Roman" w:eastAsia="仿宋_GB2312" w:cs="Times New Roman"/>
          <w:color w:val="auto"/>
          <w:sz w:val="32"/>
          <w:szCs w:val="32"/>
          <w:lang w:val="en-US" w:eastAsia="zh-CN"/>
        </w:rPr>
        <w:t xml:space="preserve">本年度年初未独立核算，年度执行中由于工作需要，本单位人员经费独立核算。  </w:t>
      </w:r>
    </w:p>
    <w:p>
      <w:pPr>
        <w:pStyle w:val="6"/>
        <w:keepNext w:val="0"/>
        <w:keepLines w:val="0"/>
        <w:pageBreakBefore w:val="0"/>
        <w:widowControl/>
        <w:numPr>
          <w:ilvl w:val="0"/>
          <w:numId w:val="0"/>
        </w:numPr>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住房保障支出25.00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8.27</w:t>
      </w:r>
      <w:r>
        <w:rPr>
          <w:rFonts w:hint="default" w:ascii="Times New Roman" w:hAnsi="Times New Roman" w:eastAsia="方正仿宋_GBK" w:cs="Times New Roman"/>
          <w:sz w:val="32"/>
          <w:szCs w:val="32"/>
          <w:shd w:val="clear" w:color="auto" w:fill="FFFFFF"/>
        </w:rPr>
        <w:t>%，较年初预算数增加25.00万元，增长100.0%，主要原因是</w:t>
      </w:r>
      <w:r>
        <w:rPr>
          <w:rFonts w:hint="default" w:ascii="Times New Roman" w:hAnsi="Times New Roman" w:eastAsia="仿宋_GB2312" w:cs="Times New Roman"/>
          <w:color w:val="auto"/>
          <w:sz w:val="32"/>
          <w:szCs w:val="32"/>
          <w:lang w:val="en-US" w:eastAsia="zh-CN"/>
        </w:rPr>
        <w:t>本年度年初未独立核算，年度执行中由于工作需要，本单位人员经费独立核算。</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（四）一般公共预算财政拨款基本支出决算情况说明</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2024年度一般公共</w:t>
      </w:r>
      <w:r>
        <w:rPr>
          <w:rFonts w:hint="eastAsia" w:ascii="Times New Roman" w:hAnsi="Times New Roman" w:eastAsia="方正仿宋_GBK" w:cs="Times New Roman"/>
          <w:sz w:val="32"/>
          <w:szCs w:val="32"/>
          <w:shd w:val="clear" w:color="auto" w:fill="FFFFFF"/>
          <w:lang w:eastAsia="zh-CN"/>
        </w:rPr>
        <w:t>预算</w:t>
      </w:r>
      <w:r>
        <w:rPr>
          <w:rFonts w:hint="default" w:ascii="Times New Roman" w:hAnsi="Times New Roman" w:eastAsia="方正仿宋_GBK" w:cs="Times New Roman"/>
          <w:sz w:val="32"/>
          <w:szCs w:val="32"/>
          <w:shd w:val="clear" w:color="auto" w:fill="FFFFFF"/>
        </w:rPr>
        <w:t>财政拨款基本支出</w:t>
      </w:r>
      <w:r>
        <w:rPr>
          <w:rFonts w:hint="default" w:ascii="Times New Roman" w:hAnsi="Times New Roman" w:eastAsia="方正仿宋_GBK" w:cs="Times New Roman"/>
          <w:sz w:val="32"/>
          <w:szCs w:val="32"/>
        </w:rPr>
        <w:t>302.35</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232.57</w:t>
      </w:r>
      <w:r>
        <w:rPr>
          <w:rFonts w:hint="default" w:ascii="Times New Roman" w:hAnsi="Times New Roman" w:eastAsia="方正仿宋_GBK" w:cs="Times New Roman"/>
          <w:sz w:val="32"/>
          <w:szCs w:val="32"/>
          <w:shd w:val="clear" w:color="auto" w:fill="FFFFFF"/>
        </w:rPr>
        <w:t>万元，与2023年度相比，增加232.57万元，增长100.0%，主要原因是</w:t>
      </w:r>
      <w:r>
        <w:rPr>
          <w:rFonts w:hint="default" w:ascii="Times New Roman" w:hAnsi="Times New Roman" w:eastAsia="仿宋_GB2312" w:cs="Times New Roman"/>
          <w:color w:val="auto"/>
          <w:sz w:val="32"/>
          <w:szCs w:val="32"/>
          <w:lang w:val="en-US" w:eastAsia="zh-CN"/>
        </w:rPr>
        <w:t>本年度年初未独立核算，年度执行中由于工作需要，本单位人员经费独立核算。</w:t>
      </w:r>
      <w:r>
        <w:rPr>
          <w:rFonts w:hint="default" w:ascii="Times New Roman" w:hAnsi="Times New Roman" w:eastAsia="方正仿宋_GBK" w:cs="Times New Roman"/>
          <w:sz w:val="32"/>
          <w:szCs w:val="32"/>
          <w:shd w:val="clear" w:color="auto" w:fill="FFFFFF"/>
        </w:rPr>
        <w:t>人员经费用途</w:t>
      </w:r>
      <w:bookmarkStart w:id="0" w:name="_GoBack"/>
      <w:bookmarkEnd w:id="0"/>
      <w:r>
        <w:rPr>
          <w:rFonts w:hint="default" w:ascii="Times New Roman" w:hAnsi="Times New Roman" w:eastAsia="方正仿宋_GBK" w:cs="Times New Roman"/>
          <w:sz w:val="32"/>
          <w:szCs w:val="32"/>
          <w:shd w:val="clear" w:color="auto" w:fill="FFFFFF"/>
        </w:rPr>
        <w:t>主要用于保障在职人员的基本工资、津贴补贴、养老保险、医疗保险、工伤保险、住房公积金、职业年金等</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69.78</w:t>
      </w:r>
      <w:r>
        <w:rPr>
          <w:rFonts w:hint="default" w:ascii="Times New Roman" w:hAnsi="Times New Roman" w:eastAsia="方正仿宋_GBK" w:cs="Times New Roman"/>
          <w:sz w:val="32"/>
          <w:szCs w:val="32"/>
          <w:shd w:val="clear" w:color="auto" w:fill="FFFFFF"/>
        </w:rPr>
        <w:t>万元，与2023年度相比，增加69.78万元，增长100.0%，主要原因是</w:t>
      </w:r>
      <w:r>
        <w:rPr>
          <w:rFonts w:hint="default" w:ascii="Times New Roman" w:hAnsi="Times New Roman" w:eastAsia="仿宋_GB2312" w:cs="Times New Roman"/>
          <w:color w:val="auto"/>
          <w:sz w:val="32"/>
          <w:szCs w:val="32"/>
          <w:lang w:val="en-US" w:eastAsia="zh-CN"/>
        </w:rPr>
        <w:t>本年度年初未独立核算，年度执行中由于工作需要，本单位</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shd w:val="clear" w:color="auto" w:fill="FFFFFF"/>
          <w:lang w:val="en-US" w:eastAsia="zh-CN"/>
        </w:rPr>
        <w:t>独立核算。</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color w:val="auto"/>
          <w:sz w:val="32"/>
          <w:szCs w:val="32"/>
          <w:shd w:val="clear" w:color="auto" w:fill="FFFFFF"/>
        </w:rPr>
        <w:t>用于保障单位正常运行而开支的办公费、印刷费、水费、电费、物业管理费、劳务费、租赁费、其他交通费等</w:t>
      </w:r>
      <w:r>
        <w:rPr>
          <w:rFonts w:hint="default" w:ascii="Times New Roman" w:hAnsi="Times New Roman" w:eastAsia="方正仿宋_GBK" w:cs="Times New Roman"/>
          <w:color w:val="auto"/>
          <w:sz w:val="32"/>
          <w:szCs w:val="32"/>
          <w:shd w:val="clear" w:color="auto" w:fill="FFFFFF"/>
          <w:lang w:eastAsia="zh-CN"/>
        </w:rPr>
        <w:t>。</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0" w:firstLineChars="200"/>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本部门2024年度无政府性基金预算财政拨款收支。</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0" w:firstLineChars="200"/>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本部门2024年度无国有资本经营预算财政拨款支出。</w:t>
      </w:r>
    </w:p>
    <w:p>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三、财政拨款“三公”经费情况说明</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w:t>
      </w:r>
      <w:r>
        <w:rPr>
          <w:rFonts w:hint="default" w:ascii="Times New Roman" w:hAnsi="Times New Roman" w:eastAsia="方正楷体_GBK" w:cs="Times New Roman"/>
          <w:b w:val="0"/>
          <w:bCs w:val="0"/>
          <w:sz w:val="32"/>
          <w:szCs w:val="32"/>
          <w:shd w:val="clear" w:color="auto" w:fill="FFFFFF"/>
        </w:rPr>
        <w:t>（一）“三公”经费支出总体情况说明</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val="en-US" w:eastAsia="zh-CN"/>
        </w:rPr>
        <w:t>与上年度持平。</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0" w:firstLineChars="200"/>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（二）“三公”经费分项支出情况</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2024年度本部门因公出国（境）费用</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万元，主要</w:t>
      </w:r>
      <w:r>
        <w:rPr>
          <w:rFonts w:hint="default" w:ascii="Times New Roman" w:hAnsi="Times New Roman" w:eastAsia="方正仿宋_GBK" w:cs="Times New Roman"/>
          <w:sz w:val="32"/>
          <w:szCs w:val="32"/>
          <w:shd w:val="clear" w:color="auto" w:fill="FFFFFF"/>
          <w:lang w:val="en-US" w:eastAsia="zh-CN"/>
        </w:rPr>
        <w:t>是</w:t>
      </w:r>
      <w:r>
        <w:rPr>
          <w:rFonts w:hint="default" w:ascii="Times New Roman" w:hAnsi="Times New Roman" w:eastAsia="方正仿宋_GBK" w:cs="Times New Roman"/>
          <w:sz w:val="32"/>
          <w:szCs w:val="32"/>
          <w:shd w:val="clear" w:color="auto" w:fill="FFFFFF"/>
        </w:rPr>
        <w:t>用于</w:t>
      </w:r>
      <w:r>
        <w:rPr>
          <w:rFonts w:hint="default" w:ascii="Times New Roman" w:hAnsi="Times New Roman" w:eastAsia="方正仿宋_GBK" w:cs="Times New Roman"/>
          <w:color w:val="auto"/>
          <w:sz w:val="32"/>
          <w:szCs w:val="32"/>
          <w:shd w:val="clear" w:color="auto" w:fill="FFFFFF"/>
          <w:lang w:val="en-US" w:eastAsia="zh-CN"/>
        </w:rPr>
        <w:t>单位公务出国（境）的国际旅费、国外城市间交通费、住宿费、伙食费、培训费、公杂费等支出</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lang w:val="en-US" w:eastAsia="zh-CN"/>
        </w:rPr>
        <w:t>与上年度持平</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eastAsia" w:ascii="Times New Roman" w:hAnsi="Times New Roman" w:eastAsia="方正仿宋_GBK" w:cs="Times New Roman"/>
          <w:sz w:val="32"/>
          <w:szCs w:val="32"/>
          <w:shd w:val="clear" w:color="auto" w:fill="FFFFFF"/>
          <w:lang w:eastAsia="zh-CN"/>
        </w:rPr>
        <w:t>公务用车</w:t>
      </w:r>
      <w:r>
        <w:rPr>
          <w:rFonts w:hint="default" w:ascii="Times New Roman" w:hAnsi="Times New Roman" w:eastAsia="方正仿宋_GBK" w:cs="Times New Roman"/>
          <w:sz w:val="32"/>
          <w:szCs w:val="32"/>
          <w:shd w:val="clear" w:color="auto" w:fill="FFFFFF"/>
        </w:rPr>
        <w:t>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sz w:val="32"/>
          <w:szCs w:val="32"/>
          <w:shd w:val="clear" w:color="auto" w:fill="FFFFFF"/>
          <w:lang w:val="en-US" w:eastAsia="zh-CN"/>
        </w:rPr>
        <w:t>购置应急保障车辆</w:t>
      </w:r>
      <w:r>
        <w:rPr>
          <w:rFonts w:hint="default" w:ascii="Times New Roman" w:hAnsi="Times New Roman" w:eastAsia="方正仿宋_GBK" w:cs="Times New Roman"/>
          <w:sz w:val="32"/>
          <w:szCs w:val="32"/>
          <w:shd w:val="clear" w:color="auto" w:fill="FFFFFF"/>
        </w:rPr>
        <w:t>。费用支出较年初预算数无增减。与2023年度相比，无增减，</w:t>
      </w:r>
      <w:r>
        <w:rPr>
          <w:rFonts w:hint="default" w:ascii="Times New Roman" w:hAnsi="Times New Roman" w:eastAsia="方正仿宋_GBK" w:cs="Times New Roman"/>
          <w:sz w:val="32"/>
          <w:szCs w:val="32"/>
          <w:shd w:val="clear" w:color="auto" w:fill="FFFFFF"/>
          <w:lang w:val="en-US" w:eastAsia="zh-CN"/>
        </w:rPr>
        <w:t>与上年度持平</w:t>
      </w:r>
      <w:r>
        <w:rPr>
          <w:rFonts w:hint="default" w:ascii="Times New Roman" w:hAnsi="Times New Roman" w:eastAsia="方正仿宋_GBK" w:cs="Times New Roman"/>
          <w:sz w:val="32"/>
          <w:szCs w:val="32"/>
          <w:shd w:val="clear" w:color="auto" w:fill="FFFFFF"/>
        </w:rPr>
        <w:t>。</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eastAsia" w:ascii="Times New Roman" w:hAnsi="Times New Roman" w:eastAsia="方正仿宋_GBK" w:cs="Times New Roman"/>
          <w:sz w:val="32"/>
          <w:szCs w:val="32"/>
          <w:shd w:val="clear" w:color="auto" w:fill="FFFFFF"/>
          <w:lang w:eastAsia="zh-CN"/>
        </w:rPr>
        <w:t>公务用车</w:t>
      </w:r>
      <w:r>
        <w:rPr>
          <w:rFonts w:hint="default" w:ascii="Times New Roman" w:hAnsi="Times New Roman" w:eastAsia="方正仿宋_GBK" w:cs="Times New Roman"/>
          <w:sz w:val="32"/>
          <w:szCs w:val="32"/>
          <w:shd w:val="clear" w:color="auto" w:fill="FFFFFF"/>
        </w:rPr>
        <w:t>运行维护费万元，主要用于</w:t>
      </w:r>
      <w:r>
        <w:rPr>
          <w:rFonts w:hint="default" w:ascii="Times New Roman" w:hAnsi="Times New Roman" w:eastAsia="方正仿宋_GBK" w:cs="Times New Roman"/>
          <w:sz w:val="32"/>
          <w:szCs w:val="32"/>
          <w:shd w:val="clear" w:color="auto" w:fill="FFFFFF"/>
          <w:lang w:val="en-US" w:eastAsia="zh-CN"/>
        </w:rPr>
        <w:t>街道应急保障车辆燃料费、新能源汽车充电费、维修费、过桥过路费、保险</w:t>
      </w:r>
      <w:r>
        <w:rPr>
          <w:rFonts w:hint="default" w:ascii="Times New Roman" w:hAnsi="Times New Roman" w:eastAsia="方正仿宋_GBK" w:cs="Times New Roman"/>
          <w:sz w:val="32"/>
          <w:szCs w:val="32"/>
          <w:shd w:val="clear" w:color="auto" w:fill="FFFFFF"/>
        </w:rPr>
        <w:t>费用支出</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lang w:val="en-US" w:eastAsia="zh-CN"/>
        </w:rPr>
        <w:t>与上年度持平</w:t>
      </w:r>
      <w:r>
        <w:rPr>
          <w:rFonts w:hint="default" w:ascii="Times New Roman" w:hAnsi="Times New Roman" w:eastAsia="方正仿宋_GBK" w:cs="Times New Roman"/>
          <w:sz w:val="32"/>
          <w:szCs w:val="32"/>
          <w:shd w:val="clear" w:color="auto" w:fill="FFFFFF"/>
        </w:rPr>
        <w:t>。</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shd w:val="clear" w:color="auto" w:fill="FFFFFF"/>
        </w:rPr>
        <w:t> 公务接待费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万元，主要用于</w:t>
      </w:r>
      <w:r>
        <w:rPr>
          <w:rFonts w:hint="default" w:ascii="Times New Roman" w:hAnsi="Times New Roman" w:eastAsia="方正仿宋_GBK" w:cs="Times New Roman"/>
          <w:color w:val="auto"/>
          <w:sz w:val="32"/>
          <w:szCs w:val="32"/>
          <w:shd w:val="clear" w:color="auto" w:fill="FFFFFF"/>
          <w:lang w:val="en-US" w:eastAsia="zh-CN"/>
        </w:rPr>
        <w:t>按照规定开支的各类公务接待费用。</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val="en-US" w:eastAsia="zh-CN"/>
        </w:rPr>
        <w:t>与上年度持平</w:t>
      </w:r>
      <w:r>
        <w:rPr>
          <w:rFonts w:hint="default" w:ascii="Times New Roman" w:hAnsi="Times New Roman" w:eastAsia="方正仿宋_GBK" w:cs="Times New Roman"/>
          <w:sz w:val="32"/>
          <w:szCs w:val="32"/>
          <w:shd w:val="clear" w:color="auto" w:fill="FFFFFF"/>
        </w:rPr>
        <w:t>。</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0" w:firstLineChars="200"/>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（三）“三公”经费实物量情况</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w:t>
      </w:r>
      <w:r>
        <w:rPr>
          <w:rFonts w:hint="eastAsia" w:ascii="Times New Roman" w:hAnsi="Times New Roman" w:eastAsia="方正仿宋_GBK" w:cs="Times New Roman"/>
          <w:sz w:val="32"/>
          <w:szCs w:val="32"/>
          <w:shd w:val="clear" w:color="auto" w:fill="FFFFFF"/>
          <w:lang w:eastAsia="zh-CN"/>
        </w:rPr>
        <w:t>公务用车</w:t>
      </w:r>
      <w:r>
        <w:rPr>
          <w:rFonts w:hint="default" w:ascii="Times New Roman" w:hAnsi="Times New Roman" w:eastAsia="方正仿宋_GBK" w:cs="Times New Roman"/>
          <w:sz w:val="32"/>
          <w:szCs w:val="32"/>
          <w:shd w:val="clear" w:color="auto" w:fill="FFFFFF"/>
        </w:rPr>
        <w:t>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人。2024年本部门人均接待费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四、其他需要说明的事项</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0" w:firstLineChars="200"/>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  （一）财政拨款会议费和培训费情况说明</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万元，与2023年度相比，无增减。（由部门根据实际情况补充）。本年度培训费支出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万元，与2023年度相比，无变化。</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（二）机关运行经费情况说明</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2024年度本部门机关运行经费支出</w:t>
      </w:r>
      <w:r>
        <w:rPr>
          <w:rFonts w:hint="default" w:ascii="Times New Roman" w:hAnsi="Times New Roman" w:eastAsia="方正仿宋_GBK" w:cs="Times New Roman"/>
          <w:sz w:val="32"/>
          <w:szCs w:val="32"/>
        </w:rPr>
        <w:t>69.78</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sz w:val="32"/>
          <w:szCs w:val="32"/>
          <w:shd w:val="clear" w:color="auto" w:fill="FFFFFF"/>
          <w:lang w:val="en-US" w:eastAsia="zh-CN"/>
        </w:rPr>
        <w:t>办公费、印刷费、水费、电费、邮电费、物业管理费、差旅费、维修费、租赁费、劳务费、委托业务费、工会经费、公务用车运行维护费、办公设备购置费等。</w:t>
      </w:r>
      <w:r>
        <w:rPr>
          <w:rFonts w:hint="default" w:ascii="Times New Roman" w:hAnsi="Times New Roman" w:eastAsia="方正仿宋_GBK" w:cs="Times New Roman"/>
          <w:sz w:val="32"/>
          <w:szCs w:val="32"/>
          <w:shd w:val="clear" w:color="auto" w:fill="FFFFFF"/>
        </w:rPr>
        <w:t>机关运行经费较上年支出数增加69.78万元，增长100.0%，主要原因是</w:t>
      </w:r>
      <w:r>
        <w:rPr>
          <w:rFonts w:hint="default" w:ascii="Times New Roman" w:hAnsi="Times New Roman" w:eastAsia="仿宋_GB2312" w:cs="Times New Roman"/>
          <w:color w:val="auto"/>
          <w:sz w:val="32"/>
          <w:szCs w:val="32"/>
          <w:lang w:val="en-US" w:eastAsia="zh-CN"/>
        </w:rPr>
        <w:t>本年度年初未独立核算，年度执行中由于工作需要，本单位公用经费独立核算。</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0" w:firstLineChars="200"/>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（三）国有资产占用情况说明</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截至2024年12月31日，本部门共有车辆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0" w:firstLineChars="200"/>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（三）国有资产占用情况说明</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截至2024年12月31日，本部门共有车辆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0" w:firstLineChars="200"/>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（四）政府采购支出情况说明</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2024年度本部门政府采购支出总额</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 xml:space="preserve"> %。主要用于采购</w:t>
      </w:r>
      <w:r>
        <w:rPr>
          <w:rFonts w:hint="default" w:ascii="Times New Roman" w:hAnsi="Times New Roman" w:eastAsia="方正仿宋_GBK" w:cs="Times New Roman"/>
          <w:sz w:val="32"/>
          <w:szCs w:val="32"/>
          <w:shd w:val="clear" w:color="auto" w:fill="FFFFFF"/>
          <w:lang w:val="en-US" w:eastAsia="zh-CN"/>
        </w:rPr>
        <w:t>主要用于采购建筑物、公共基础设施等大型修缮以及采购办公电脑、打印机、复印机等固定资产。</w:t>
      </w:r>
    </w:p>
    <w:p>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五、2024年度预算绩效管理情况说明</w:t>
      </w:r>
    </w:p>
    <w:p>
      <w:pPr>
        <w:pStyle w:val="12"/>
        <w:keepNext w:val="0"/>
        <w:keepLines w:val="0"/>
        <w:pageBreakBefore w:val="0"/>
        <w:widowControl/>
        <w:kinsoku/>
        <w:overflowPunct/>
        <w:topLinePunct w:val="0"/>
        <w:autoSpaceDE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2024年度本部门无项目支出，故不涉及绩效评价。</w:t>
      </w:r>
    </w:p>
    <w:p>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黑体_GBK" w:cs="Times New Roman"/>
          <w:b w:val="0"/>
          <w:bCs/>
          <w:sz w:val="32"/>
          <w:szCs w:val="32"/>
        </w:rPr>
      </w:pPr>
      <w:r>
        <w:rPr>
          <w:rStyle w:val="8"/>
          <w:rFonts w:hint="default" w:ascii="Times New Roman" w:hAnsi="Times New Roman" w:eastAsia="方正黑体_GBK" w:cs="Times New Roman"/>
          <w:b w:val="0"/>
          <w:bCs/>
          <w:sz w:val="32"/>
          <w:szCs w:val="32"/>
          <w:shd w:val="clear" w:color="auto" w:fill="FFFFFF"/>
        </w:rPr>
        <w:t>六、专业名词解释</w:t>
      </w:r>
    </w:p>
    <w:p>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楷体_GBK" w:cs="Times New Roman"/>
          <w:b w:val="0"/>
          <w:bCs/>
          <w:sz w:val="32"/>
          <w:szCs w:val="32"/>
        </w:rPr>
      </w:pPr>
      <w:r>
        <w:rPr>
          <w:rStyle w:val="8"/>
          <w:rFonts w:hint="default" w:ascii="Times New Roman" w:hAnsi="Times New Roman" w:eastAsia="方正楷体_GBK" w:cs="Times New Roman"/>
          <w:b w:val="0"/>
          <w:bCs/>
          <w:sz w:val="32"/>
          <w:szCs w:val="32"/>
          <w:shd w:val="clear" w:color="auto" w:fill="FFFFFF"/>
        </w:rPr>
        <w:t>七、决算公开联系方式及信息反馈渠道</w:t>
      </w:r>
    </w:p>
    <w:p>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本单位决算公开信息反馈和联系方式：</w:t>
      </w:r>
    </w:p>
    <w:p>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shd w:val="clear" w:color="auto" w:fill="FFFFFF"/>
          <w:lang w:val="en-US" w:eastAsia="zh-CN"/>
        </w:rPr>
        <w:t>两路口街道办事处</w:t>
      </w:r>
      <w:r>
        <w:rPr>
          <w:rFonts w:hint="default" w:ascii="Times New Roman" w:hAnsi="Times New Roman" w:eastAsia="方正仿宋_GBK" w:cs="Times New Roman"/>
          <w:color w:val="auto"/>
          <w:sz w:val="32"/>
          <w:szCs w:val="32"/>
          <w:shd w:val="clear" w:color="auto" w:fill="FFFFFF"/>
        </w:rPr>
        <w:t xml:space="preserve">   023</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63623710</w:t>
      </w:r>
    </w:p>
    <w:sectPr>
      <w:headerReference r:id="rId3" w:type="default"/>
      <w:footerReference r:id="rId4" w:type="default"/>
      <w:pgSz w:w="11850" w:h="16783"/>
      <w:pgMar w:top="1984" w:right="1446" w:bottom="1644" w:left="1446"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76A06"/>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233C8"/>
    <w:rsid w:val="00634FA8"/>
    <w:rsid w:val="0063613A"/>
    <w:rsid w:val="0068170B"/>
    <w:rsid w:val="006E2034"/>
    <w:rsid w:val="00732392"/>
    <w:rsid w:val="00792285"/>
    <w:rsid w:val="007A0D2E"/>
    <w:rsid w:val="007A3314"/>
    <w:rsid w:val="007B419D"/>
    <w:rsid w:val="007C5C5B"/>
    <w:rsid w:val="00810F13"/>
    <w:rsid w:val="00813C3E"/>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43824"/>
    <w:rsid w:val="00BF5A85"/>
    <w:rsid w:val="00C307F6"/>
    <w:rsid w:val="00C96B11"/>
    <w:rsid w:val="00C97747"/>
    <w:rsid w:val="00CC6B99"/>
    <w:rsid w:val="00D611DC"/>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9C6BDA"/>
    <w:rsid w:val="3EEC37F3"/>
    <w:rsid w:val="3F032E93"/>
    <w:rsid w:val="3F0527E5"/>
    <w:rsid w:val="3F4814B0"/>
    <w:rsid w:val="3F5E5D98"/>
    <w:rsid w:val="3F694D83"/>
    <w:rsid w:val="3F885DCC"/>
    <w:rsid w:val="3FCD675E"/>
    <w:rsid w:val="3FD86860"/>
    <w:rsid w:val="3FE9713E"/>
    <w:rsid w:val="4004000C"/>
    <w:rsid w:val="40D54604"/>
    <w:rsid w:val="411B6CE5"/>
    <w:rsid w:val="412070D7"/>
    <w:rsid w:val="41314E40"/>
    <w:rsid w:val="41E0734B"/>
    <w:rsid w:val="426554D0"/>
    <w:rsid w:val="426C1EA8"/>
    <w:rsid w:val="42736402"/>
    <w:rsid w:val="42E86A87"/>
    <w:rsid w:val="43307B09"/>
    <w:rsid w:val="43470647"/>
    <w:rsid w:val="438D0E97"/>
    <w:rsid w:val="43BB152F"/>
    <w:rsid w:val="43CE4A40"/>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8A7F91"/>
    <w:rsid w:val="79A031D5"/>
    <w:rsid w:val="7A1525F7"/>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7"/>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4032</Words>
  <Characters>22989</Characters>
  <Lines>191</Lines>
  <Paragraphs>53</Paragraphs>
  <ScaleCrop>false</ScaleCrop>
  <LinksUpToDate>false</LinksUpToDate>
  <CharactersWithSpaces>26968</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严欣</cp:lastModifiedBy>
  <dcterms:modified xsi:type="dcterms:W3CDTF">2025-10-17T02:13:52Z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