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4" w:lineRule="exact"/>
        <w:jc w:val="center"/>
        <w:rPr>
          <w:rFonts w:hint="default" w:ascii="方正小标宋_GBK" w:hAnsi="方正小标宋_GBK" w:eastAsia="方正小标宋_GBK" w:cs="方正小标宋_GBK"/>
          <w:kern w:val="2"/>
          <w:sz w:val="44"/>
          <w:szCs w:val="44"/>
        </w:rPr>
      </w:pPr>
      <w:r>
        <w:rPr>
          <w:rFonts w:ascii="方正小标宋_GBK" w:hAnsi="方正小标宋_GBK" w:eastAsia="方正小标宋_GBK" w:cs="方正小标宋_GBK"/>
          <w:kern w:val="2"/>
          <w:sz w:val="44"/>
          <w:szCs w:val="44"/>
        </w:rPr>
        <w:t>重庆市渝中区物业专项维修资金管理中心</w:t>
      </w:r>
      <w:r>
        <w:rPr>
          <w:rFonts w:hint="default" w:ascii="Times New Roman" w:hAnsi="Times New Roman" w:eastAsia="方正小标宋_GBK"/>
          <w:kern w:val="2"/>
          <w:sz w:val="44"/>
          <w:szCs w:val="44"/>
        </w:rPr>
        <w:t>2023</w:t>
      </w:r>
      <w:r>
        <w:rPr>
          <w:rFonts w:ascii="方正小标宋_GBK" w:hAnsi="方正小标宋_GBK" w:eastAsia="方正小标宋_GBK" w:cs="方正小标宋_GBK"/>
          <w:kern w:val="2"/>
          <w:sz w:val="44"/>
          <w:szCs w:val="44"/>
        </w:rPr>
        <w:t>年度决算</w:t>
      </w:r>
      <w:r>
        <w:rPr>
          <w:rFonts w:hint="eastAsia" w:ascii="方正小标宋_GBK" w:hAnsi="方正小标宋_GBK" w:eastAsia="方正小标宋_GBK" w:cs="方正小标宋_GBK"/>
          <w:kern w:val="2"/>
          <w:sz w:val="44"/>
          <w:szCs w:val="44"/>
          <w:lang w:eastAsia="zh-CN"/>
        </w:rPr>
        <w:t>情况</w:t>
      </w:r>
      <w:bookmarkStart w:id="0" w:name="_GoBack"/>
      <w:bookmarkEnd w:id="0"/>
      <w:r>
        <w:rPr>
          <w:rFonts w:ascii="方正小标宋_GBK" w:hAnsi="方正小标宋_GBK" w:eastAsia="方正小标宋_GBK" w:cs="方正小标宋_GBK"/>
          <w:kern w:val="2"/>
          <w:sz w:val="44"/>
          <w:szCs w:val="44"/>
        </w:rPr>
        <w:t>说明</w:t>
      </w:r>
    </w:p>
    <w:p>
      <w:pPr>
        <w:pStyle w:val="2"/>
        <w:widowControl w:val="0"/>
        <w:spacing w:line="594" w:lineRule="exact"/>
        <w:ind w:firstLine="640"/>
        <w:jc w:val="both"/>
        <w:rPr>
          <w:rFonts w:hint="default" w:ascii="方正仿宋_GBK" w:hAnsi="方正仿宋_GBK" w:eastAsia="方正仿宋_GBK" w:cs="方正仿宋_GBK"/>
          <w:sz w:val="32"/>
          <w:szCs w:val="32"/>
        </w:rPr>
      </w:pPr>
    </w:p>
    <w:p>
      <w:pPr>
        <w:pStyle w:val="2"/>
        <w:widowControl w:val="0"/>
        <w:spacing w:line="580" w:lineRule="exact"/>
        <w:ind w:firstLine="640"/>
        <w:jc w:val="both"/>
        <w:rPr>
          <w:rFonts w:hint="default" w:ascii="Times New Roman" w:hAnsi="Times New Roman"/>
          <w:sz w:val="32"/>
          <w:szCs w:val="32"/>
        </w:rPr>
      </w:pPr>
      <w:r>
        <w:rPr>
          <w:rFonts w:hint="default" w:ascii="Times New Roman" w:hAnsi="Times New Roman"/>
          <w:sz w:val="32"/>
          <w:szCs w:val="32"/>
        </w:rPr>
        <w:t>一、部门基本情况</w:t>
      </w:r>
    </w:p>
    <w:p>
      <w:pPr>
        <w:widowControl w:val="0"/>
        <w:spacing w:line="580"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（一）职能职责</w:t>
      </w:r>
    </w:p>
    <w:p>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管理物业专项维修资金，保护资金所有人合法权益。负责宣传贯彻落实与物业专项维修资金管理相关的法律法规；负责区域内物业专项维修资金的归集、续筹、使用等管理服务工作；负责物业专项维修资金账户的监督和资金安全管理；承担公共收益主要用于补充物业专项维修资金的管理服务工作；协调处理与物业专项维修资金管理相关的矛盾纠纷；完成上级主管部门交办的其他工作任务。</w:t>
      </w:r>
    </w:p>
    <w:p>
      <w:pPr>
        <w:widowControl w:val="0"/>
        <w:spacing w:line="580" w:lineRule="exact"/>
        <w:ind w:firstLine="640" w:firstLineChars="200"/>
        <w:jc w:val="both"/>
        <w:rPr>
          <w:rFonts w:hint="default"/>
        </w:rPr>
      </w:pPr>
      <w:r>
        <w:rPr>
          <w:rFonts w:hint="default" w:ascii="Times New Roman" w:hAnsi="Times New Roman" w:eastAsia="方正楷体_GBK"/>
          <w:kern w:val="2"/>
          <w:sz w:val="32"/>
          <w:szCs w:val="32"/>
        </w:rPr>
        <w:t>（二）机构设置</w:t>
      </w:r>
    </w:p>
    <w:p>
      <w:pPr>
        <w:widowControl w:val="0"/>
        <w:spacing w:line="580" w:lineRule="exact"/>
        <w:ind w:firstLine="640" w:firstLineChars="200"/>
        <w:jc w:val="both"/>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中心设置三部一室，分别是资金归集部、使用稽核部、财务部和办公室，编制35人。中心在编在职职工33人，其中领导班子成员共5名，主任1名、书记1名、副主任3名。退休职工2人，劳务派遣4人。</w:t>
      </w:r>
    </w:p>
    <w:p>
      <w:pPr>
        <w:widowControl w:val="0"/>
        <w:spacing w:line="580" w:lineRule="exact"/>
        <w:ind w:firstLine="640" w:firstLineChars="200"/>
        <w:jc w:val="both"/>
        <w:rPr>
          <w:rFonts w:hint="default"/>
        </w:rPr>
      </w:pPr>
      <w:r>
        <w:rPr>
          <w:rFonts w:hint="default" w:ascii="Times New Roman" w:hAnsi="Times New Roman" w:eastAsia="方正黑体_GBK"/>
          <w:kern w:val="44"/>
          <w:sz w:val="32"/>
          <w:szCs w:val="32"/>
        </w:rPr>
        <w:t>二、部门决算情况说明</w:t>
      </w:r>
    </w:p>
    <w:p>
      <w:pPr>
        <w:spacing w:line="580" w:lineRule="exact"/>
        <w:ind w:firstLine="480" w:firstLineChars="200"/>
        <w:rPr>
          <w:rFonts w:hint="default"/>
        </w:rPr>
      </w:pPr>
      <w:r>
        <w:t xml:space="preserve"> </w:t>
      </w:r>
      <w:r>
        <w:rPr>
          <w:rFonts w:ascii="Times New Roman" w:hAnsi="Times New Roman" w:eastAsia="方正楷体_GBK"/>
          <w:kern w:val="2"/>
          <w:sz w:val="32"/>
          <w:szCs w:val="32"/>
        </w:rPr>
        <w:t>（一）收入支出决算总体情况说明</w:t>
      </w:r>
    </w:p>
    <w:p>
      <w:pPr>
        <w:spacing w:line="580" w:lineRule="exact"/>
        <w:ind w:firstLine="640" w:firstLineChars="200"/>
        <w:rPr>
          <w:rFonts w:hint="default"/>
        </w:rPr>
      </w:pPr>
      <w:r>
        <w:rPr>
          <w:rFonts w:ascii="Times New Roman" w:hAnsi="Times New Roman" w:eastAsia="方正仿宋_GBK"/>
          <w:kern w:val="2"/>
          <w:sz w:val="32"/>
          <w:szCs w:val="32"/>
        </w:rPr>
        <w:t>1.总体情况。</w:t>
      </w:r>
      <w:r>
        <w:rPr>
          <w:rFonts w:hint="default" w:ascii="Times New Roman" w:hAnsi="Times New Roman" w:eastAsia="方正仿宋_GBK"/>
          <w:kern w:val="2"/>
          <w:sz w:val="32"/>
          <w:szCs w:val="32"/>
        </w:rPr>
        <w:t>2023年度收入总计779.45万元，支出总计779.45万元。收支较上年决算数增加361.10万元，增长86.32%，主要原因是我中心2022年5月纳入财政预算，2022年决算数为2022年5月至2022年12月数据。</w:t>
      </w:r>
    </w:p>
    <w:p>
      <w:pPr>
        <w:spacing w:line="580" w:lineRule="exact"/>
        <w:ind w:firstLine="640" w:firstLineChars="200"/>
        <w:rPr>
          <w:rFonts w:hint="default"/>
        </w:rPr>
      </w:pPr>
      <w:r>
        <w:rPr>
          <w:rFonts w:ascii="Times New Roman" w:hAnsi="Times New Roman" w:eastAsia="方正仿宋_GBK"/>
          <w:kern w:val="2"/>
          <w:sz w:val="32"/>
          <w:szCs w:val="32"/>
        </w:rPr>
        <w:t>2.收入情况。</w:t>
      </w:r>
      <w:r>
        <w:rPr>
          <w:rFonts w:hint="default" w:ascii="Times New Roman" w:hAnsi="Times New Roman" w:eastAsia="方正仿宋_GBK"/>
          <w:kern w:val="2"/>
          <w:sz w:val="32"/>
          <w:szCs w:val="32"/>
        </w:rPr>
        <w:t>2023年度收入合计779.45万元，较上年决算数增加361.10万元，增长86.32%，主要原因是我中心2022年5月纳入财政预算，2022年决算数为2022年5月至2022年12月数据。其中：财政拨款收入779.45万元，占100.00%；事业收入0.00万元，占0.00%；经营收入0.00万元，占0.00%；其他收入0.00万元，占0.00%。此外，使用非财政拨款结余和专用结余0.00万元，年初结转和结余0.00万元。</w:t>
      </w:r>
    </w:p>
    <w:p>
      <w:pPr>
        <w:spacing w:line="580" w:lineRule="exact"/>
        <w:ind w:firstLine="640" w:firstLineChars="200"/>
        <w:rPr>
          <w:rFonts w:hint="default"/>
        </w:rPr>
      </w:pPr>
      <w:r>
        <w:rPr>
          <w:rFonts w:ascii="Times New Roman" w:hAnsi="Times New Roman" w:eastAsia="方正仿宋_GBK"/>
          <w:kern w:val="2"/>
          <w:sz w:val="32"/>
          <w:szCs w:val="32"/>
        </w:rPr>
        <w:t>3.支出情况。</w:t>
      </w:r>
      <w:r>
        <w:rPr>
          <w:rFonts w:hint="default" w:ascii="Times New Roman" w:hAnsi="Times New Roman" w:eastAsia="方正仿宋_GBK"/>
          <w:kern w:val="2"/>
          <w:sz w:val="32"/>
          <w:szCs w:val="32"/>
        </w:rPr>
        <w:t>2023年度支出合计779.45万元，较上年决算数增加361.10万元，增长86.32%，主要原因是我中心2022年5月纳入财政预算，2022年决算数为2022年5月至2022年12月数据。其中：基本支出698.19万元，占89.57%；项目支出81.26万元，占10.43%；经营支出0.00万元，占0.00%。此外，结余分配0.00万元。</w:t>
      </w:r>
    </w:p>
    <w:p>
      <w:pPr>
        <w:spacing w:line="580" w:lineRule="exact"/>
        <w:ind w:firstLine="640" w:firstLineChars="200"/>
        <w:rPr>
          <w:rFonts w:hint="default"/>
        </w:rPr>
      </w:pPr>
      <w:r>
        <w:rPr>
          <w:rFonts w:ascii="Times New Roman" w:hAnsi="Times New Roman" w:eastAsia="方正仿宋_GBK"/>
          <w:kern w:val="2"/>
          <w:sz w:val="32"/>
          <w:szCs w:val="32"/>
        </w:rPr>
        <w:t>4.结转结余情况</w:t>
      </w:r>
      <w:r>
        <w:t>。</w:t>
      </w:r>
      <w:r>
        <w:rPr>
          <w:rFonts w:hint="default" w:ascii="Times New Roman" w:hAnsi="Times New Roman" w:eastAsia="方正仿宋_GBK"/>
          <w:kern w:val="2"/>
          <w:sz w:val="32"/>
          <w:szCs w:val="32"/>
        </w:rPr>
        <w:t xml:space="preserve">2023年度年末结转和结余0.00万元，较上年决算数无增减。 </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（二）财政拨款收入支出决算总体情况说明</w:t>
      </w:r>
    </w:p>
    <w:p>
      <w:pPr>
        <w:spacing w:line="580" w:lineRule="exact"/>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2023年度财政拨款收、支总计779.45万元。与2022年相比，财政拨款收、支总计各增加361.10万元，增长86.32%。主要原因是我中心2022年5月纳入财政预算，2022年决算数为2022年5月至2022年12月数据。</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（三）一般公共预算财政拨款收入支出决算情况说明</w:t>
      </w:r>
    </w:p>
    <w:p>
      <w:pPr>
        <w:spacing w:line="58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1.收入情况。2023年度一般公共预算财政拨款收入779.45万元，较上年决算数增加361.10万元，增长86.32%。主要原因是我中心2022年5月纳入财政预算，2022年决算数为2022年5月至2022年12月数据</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较年初预算数减少1.74万元，下降0.22%。主要原因是车辆运行费减少</w:t>
      </w:r>
      <w:r>
        <w:rPr>
          <w:rFonts w:ascii="Times New Roman" w:hAnsi="Times New Roman" w:eastAsia="方正仿宋_GBK"/>
          <w:kern w:val="2"/>
          <w:sz w:val="32"/>
          <w:szCs w:val="32"/>
        </w:rPr>
        <w:t>。</w:t>
      </w:r>
      <w:r>
        <w:rPr>
          <w:rFonts w:hint="default" w:ascii="Times New Roman" w:hAnsi="Times New Roman" w:eastAsia="方正仿宋_GBK"/>
          <w:kern w:val="2"/>
          <w:sz w:val="32"/>
          <w:szCs w:val="32"/>
        </w:rPr>
        <w:t>此外，年初财政拨款结转和结余0.00万元。</w:t>
      </w:r>
    </w:p>
    <w:p>
      <w:pPr>
        <w:spacing w:line="58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2.支出情况。2023年度一般公共预算财政拨款支出</w:t>
      </w:r>
    </w:p>
    <w:p>
      <w:pPr>
        <w:spacing w:line="580" w:lineRule="exact"/>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779.45万元，较上年决算数增加361.10万元，增长86.32%。主要原因是我中心2022年5月纳入财政预算，2022年决算数为2022年5月至2022年12月数据。较年初预算数减少1.74万元，下降0.22%。主要原因是车辆运行费减少</w:t>
      </w:r>
      <w:r>
        <w:rPr>
          <w:rFonts w:ascii="Times New Roman" w:hAnsi="Times New Roman" w:eastAsia="方正仿宋_GBK"/>
          <w:kern w:val="2"/>
          <w:sz w:val="32"/>
          <w:szCs w:val="32"/>
        </w:rPr>
        <w:t>。</w:t>
      </w:r>
    </w:p>
    <w:p>
      <w:pPr>
        <w:spacing w:line="58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3.结转结余情况。2023年度年末一般公共预算财政拨款结转和结余0.00万元，较上年决算数无增减。</w:t>
      </w:r>
    </w:p>
    <w:p>
      <w:pPr>
        <w:spacing w:line="58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4.比较情况。本部门2023年度一般公共预算财政拨款支出主要用于以下几个方面：</w:t>
      </w:r>
    </w:p>
    <w:p>
      <w:pPr>
        <w:spacing w:line="580" w:lineRule="exact"/>
        <w:ind w:firstLine="640" w:firstLineChars="200"/>
        <w:rPr>
          <w:rFonts w:hint="default"/>
        </w:rPr>
      </w:pPr>
      <w:r>
        <w:rPr>
          <w:rFonts w:hint="default" w:ascii="Times New Roman" w:hAnsi="Times New Roman" w:eastAsia="方正仿宋_GBK"/>
          <w:kern w:val="2"/>
          <w:sz w:val="32"/>
          <w:szCs w:val="32"/>
        </w:rPr>
        <w:t>（1）社会保障与就业支出70.26万元，占9.01%，较年初预算数增加0.38万元，增长0.54%，主要原因是2023年增加在职职工1名。</w:t>
      </w:r>
    </w:p>
    <w:p>
      <w:pPr>
        <w:spacing w:line="580" w:lineRule="exact"/>
        <w:ind w:firstLine="640" w:firstLineChars="200"/>
        <w:rPr>
          <w:rFonts w:hint="default" w:ascii="Times New Roman" w:hAnsi="Times New Roman" w:eastAsia="方正仿宋_GBK"/>
          <w:kern w:val="2"/>
          <w:sz w:val="32"/>
          <w:szCs w:val="32"/>
        </w:rPr>
      </w:pPr>
      <w:r>
        <w:rPr>
          <w:rFonts w:hint="default" w:ascii="Times New Roman" w:hAnsi="Times New Roman" w:eastAsia="方正仿宋_GBK"/>
          <w:kern w:val="2"/>
          <w:sz w:val="32"/>
          <w:szCs w:val="32"/>
        </w:rPr>
        <w:t>（2）卫生健康支出33.23万元，占4.26%，较年初预算数无增加。</w:t>
      </w:r>
    </w:p>
    <w:p>
      <w:pPr>
        <w:spacing w:line="580" w:lineRule="exact"/>
        <w:rPr>
          <w:rFonts w:hint="default"/>
        </w:rPr>
      </w:pPr>
      <w:r>
        <w:rPr>
          <w:rFonts w:ascii="Times New Roman" w:hAnsi="Times New Roman" w:eastAsia="方正仿宋_GBK"/>
          <w:kern w:val="2"/>
          <w:sz w:val="32"/>
          <w:szCs w:val="32"/>
        </w:rPr>
        <w:t xml:space="preserve">    </w:t>
      </w:r>
      <w:r>
        <w:rPr>
          <w:rFonts w:hint="default" w:ascii="Times New Roman" w:hAnsi="Times New Roman" w:eastAsia="方正仿宋_GBK"/>
          <w:kern w:val="2"/>
          <w:sz w:val="32"/>
          <w:szCs w:val="32"/>
        </w:rPr>
        <w:t>（3）城乡社区支出632.43万元，占81.14%，较年初预算数减少2.48万元，下降0.39%，主要原因是车辆运行费结</w:t>
      </w:r>
    </w:p>
    <w:p>
      <w:pPr>
        <w:spacing w:line="580" w:lineRule="exact"/>
        <w:rPr>
          <w:rFonts w:hint="default"/>
        </w:rPr>
      </w:pPr>
      <w:r>
        <w:rPr>
          <w:rFonts w:hint="default" w:ascii="Times New Roman" w:hAnsi="Times New Roman" w:eastAsia="方正仿宋_GBK"/>
          <w:kern w:val="2"/>
          <w:sz w:val="32"/>
          <w:szCs w:val="32"/>
        </w:rPr>
        <w:t>余。</w:t>
      </w:r>
    </w:p>
    <w:p>
      <w:pPr>
        <w:spacing w:line="580" w:lineRule="exact"/>
        <w:ind w:firstLine="640" w:firstLineChars="200"/>
        <w:rPr>
          <w:rFonts w:hint="default"/>
        </w:rPr>
      </w:pPr>
      <w:r>
        <w:rPr>
          <w:rFonts w:hint="default" w:ascii="Times New Roman" w:hAnsi="Times New Roman" w:eastAsia="方正仿宋_GBK"/>
          <w:kern w:val="2"/>
          <w:sz w:val="32"/>
          <w:szCs w:val="32"/>
        </w:rPr>
        <w:t>（4）住房保障支出43.53万元，占5.58%，较年初预算数增加0.36万元，增长0.83%，主要原因是2023年增加在职职工1名。</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（四）一般公共预算财政拨款基本支出决算情况说明</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年度一般公共财政拨款基本支出</w:t>
      </w:r>
      <w:r>
        <w:rPr>
          <w:rFonts w:ascii="Times New Roman" w:hAnsi="Times New Roman" w:eastAsia="方正仿宋_GBK"/>
          <w:kern w:val="2"/>
          <w:sz w:val="32"/>
          <w:szCs w:val="32"/>
        </w:rPr>
        <w:t>698.19</w:t>
      </w:r>
      <w:r>
        <w:rPr>
          <w:rFonts w:ascii="方正仿宋_GBK" w:hAnsi="方正仿宋_GBK" w:eastAsia="方正仿宋_GBK" w:cs="方正仿宋_GBK"/>
          <w:sz w:val="32"/>
          <w:szCs w:val="32"/>
        </w:rPr>
        <w:t>万元。其中：人员经费</w:t>
      </w:r>
      <w:r>
        <w:rPr>
          <w:rFonts w:ascii="Times New Roman" w:hAnsi="Times New Roman" w:eastAsia="方正仿宋_GBK"/>
          <w:kern w:val="2"/>
          <w:sz w:val="32"/>
          <w:szCs w:val="32"/>
        </w:rPr>
        <w:t>605.06</w:t>
      </w:r>
      <w:r>
        <w:rPr>
          <w:rFonts w:ascii="方正仿宋_GBK" w:hAnsi="方正仿宋_GBK" w:eastAsia="方正仿宋_GBK" w:cs="方正仿宋_GBK"/>
          <w:sz w:val="32"/>
          <w:szCs w:val="32"/>
        </w:rPr>
        <w:t>万元，较上年决算数增加</w:t>
      </w:r>
      <w:r>
        <w:rPr>
          <w:rFonts w:ascii="Times New Roman" w:hAnsi="Times New Roman" w:eastAsia="方正仿宋_GBK"/>
          <w:kern w:val="2"/>
          <w:sz w:val="32"/>
          <w:szCs w:val="32"/>
        </w:rPr>
        <w:t>264.11</w:t>
      </w:r>
      <w:r>
        <w:rPr>
          <w:rFonts w:ascii="方正仿宋_GBK" w:hAnsi="方正仿宋_GBK" w:eastAsia="方正仿宋_GBK" w:cs="方正仿宋_GBK"/>
          <w:sz w:val="32"/>
          <w:szCs w:val="32"/>
        </w:rPr>
        <w:t>万元，增长</w:t>
      </w:r>
      <w:r>
        <w:rPr>
          <w:rFonts w:ascii="Times New Roman" w:hAnsi="Times New Roman" w:eastAsia="方正仿宋_GBK"/>
          <w:kern w:val="2"/>
          <w:sz w:val="32"/>
          <w:szCs w:val="32"/>
        </w:rPr>
        <w:t>77.46%</w:t>
      </w:r>
      <w:r>
        <w:rPr>
          <w:rFonts w:ascii="方正仿宋_GBK" w:hAnsi="方正仿宋_GBK" w:eastAsia="方正仿宋_GBK" w:cs="方正仿宋_GBK"/>
          <w:sz w:val="32"/>
          <w:szCs w:val="32"/>
        </w:rPr>
        <w:t>，主要原因是我中心</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月纳入财政预算，</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年决算数为</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月至</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12</w:t>
      </w:r>
      <w:r>
        <w:rPr>
          <w:rFonts w:ascii="方正仿宋_GBK" w:hAnsi="方正仿宋_GBK" w:eastAsia="方正仿宋_GBK" w:cs="方正仿宋_GBK"/>
          <w:sz w:val="32"/>
          <w:szCs w:val="32"/>
        </w:rPr>
        <w:t>月数据。人员经费用途主要包括职工基本工资、绩效工资、缴纳养老保险、医疗保险、住房公积金等。公用经费</w:t>
      </w:r>
      <w:r>
        <w:rPr>
          <w:rFonts w:ascii="Times New Roman" w:hAnsi="Times New Roman" w:eastAsia="方正仿宋_GBK"/>
          <w:kern w:val="2"/>
          <w:sz w:val="32"/>
          <w:szCs w:val="32"/>
        </w:rPr>
        <w:t>93.13</w:t>
      </w:r>
      <w:r>
        <w:rPr>
          <w:rFonts w:ascii="方正仿宋_GBK" w:hAnsi="方正仿宋_GBK" w:eastAsia="方正仿宋_GBK" w:cs="方正仿宋_GBK"/>
          <w:sz w:val="32"/>
          <w:szCs w:val="32"/>
        </w:rPr>
        <w:t>万元，较上年决算数增加</w:t>
      </w:r>
      <w:r>
        <w:rPr>
          <w:rFonts w:ascii="Times New Roman" w:hAnsi="Times New Roman" w:eastAsia="方正仿宋_GBK"/>
          <w:kern w:val="2"/>
          <w:sz w:val="32"/>
          <w:szCs w:val="32"/>
        </w:rPr>
        <w:t>55.45</w:t>
      </w:r>
      <w:r>
        <w:rPr>
          <w:rFonts w:ascii="方正仿宋_GBK" w:hAnsi="方正仿宋_GBK" w:eastAsia="方正仿宋_GBK" w:cs="方正仿宋_GBK"/>
          <w:sz w:val="32"/>
          <w:szCs w:val="32"/>
        </w:rPr>
        <w:t>万元，增长</w:t>
      </w:r>
      <w:r>
        <w:rPr>
          <w:rFonts w:ascii="Times New Roman" w:hAnsi="Times New Roman" w:eastAsia="方正仿宋_GBK"/>
          <w:kern w:val="2"/>
          <w:sz w:val="32"/>
          <w:szCs w:val="32"/>
        </w:rPr>
        <w:t>147.16%</w:t>
      </w:r>
      <w:r>
        <w:rPr>
          <w:rFonts w:ascii="方正仿宋_GBK" w:hAnsi="方正仿宋_GBK" w:eastAsia="方正仿宋_GBK" w:cs="方正仿宋_GBK"/>
          <w:sz w:val="32"/>
          <w:szCs w:val="32"/>
        </w:rPr>
        <w:t>，主要原因是我中心</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月纳入财政预算，</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年决算数为</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月至</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12</w:t>
      </w:r>
      <w:r>
        <w:rPr>
          <w:rFonts w:ascii="方正仿宋_GBK" w:hAnsi="方正仿宋_GBK" w:eastAsia="方正仿宋_GBK" w:cs="方正仿宋_GBK"/>
          <w:sz w:val="32"/>
          <w:szCs w:val="32"/>
        </w:rPr>
        <w:t>月数据。公用经费用途主要包括办公费、工会经费等。</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（五）政府性基金预算收支决算情况说明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本中心</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年度无政府性基金预算财政拨款收支。</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（六）国有资本经营预算财政拨款支出决算情况说明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本中心</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年无国有资本经营预算财政拨款支出。</w:t>
      </w:r>
    </w:p>
    <w:p>
      <w:pPr>
        <w:spacing w:line="580" w:lineRule="exact"/>
        <w:ind w:firstLine="640" w:firstLineChars="200"/>
        <w:rPr>
          <w:rFonts w:hint="default" w:ascii="Times New Roman" w:hAnsi="Times New Roman" w:eastAsia="方正黑体_GBK"/>
          <w:kern w:val="44"/>
          <w:sz w:val="32"/>
          <w:szCs w:val="32"/>
        </w:rPr>
      </w:pPr>
      <w:r>
        <w:rPr>
          <w:rFonts w:ascii="Times New Roman" w:hAnsi="Times New Roman" w:eastAsia="方正黑体_GBK"/>
          <w:kern w:val="44"/>
          <w:sz w:val="32"/>
          <w:szCs w:val="32"/>
        </w:rPr>
        <w:t>三、“三公”经费情况说明</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（一）“三公”经费支出总体情况说明</w:t>
      </w:r>
    </w:p>
    <w:p>
      <w:pPr>
        <w:pStyle w:val="2"/>
        <w:spacing w:line="580" w:lineRule="exact"/>
        <w:ind w:firstLine="640"/>
        <w:rPr>
          <w:rFonts w:hint="default" w:ascii="方正仿宋_GBK" w:hAnsi="方正仿宋_GBK" w:eastAsia="方正仿宋_GBK" w:cs="方正仿宋_GBK"/>
          <w:sz w:val="32"/>
          <w:szCs w:val="32"/>
        </w:rPr>
      </w:pP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年度“三公”经费支出共计</w:t>
      </w:r>
      <w:r>
        <w:rPr>
          <w:rFonts w:ascii="Times New Roman" w:hAnsi="Times New Roman" w:eastAsia="方正仿宋_GBK"/>
          <w:kern w:val="2"/>
          <w:sz w:val="32"/>
          <w:szCs w:val="32"/>
        </w:rPr>
        <w:t>2.30</w:t>
      </w:r>
      <w:r>
        <w:rPr>
          <w:rFonts w:ascii="方正仿宋_GBK" w:hAnsi="方正仿宋_GBK" w:eastAsia="方正仿宋_GBK" w:cs="方正仿宋_GBK"/>
          <w:sz w:val="32"/>
          <w:szCs w:val="32"/>
        </w:rPr>
        <w:t>万元，较年初预</w:t>
      </w:r>
    </w:p>
    <w:p>
      <w:pPr>
        <w:spacing w:line="580" w:lineRule="exact"/>
        <w:rPr>
          <w:rFonts w:hint="default"/>
        </w:rPr>
      </w:pPr>
      <w:r>
        <w:rPr>
          <w:rFonts w:ascii="方正仿宋_GBK" w:hAnsi="方正仿宋_GBK" w:eastAsia="方正仿宋_GBK" w:cs="方正仿宋_GBK"/>
          <w:sz w:val="32"/>
          <w:szCs w:val="32"/>
        </w:rPr>
        <w:t>算数减少</w:t>
      </w:r>
      <w:r>
        <w:rPr>
          <w:rFonts w:ascii="Times New Roman" w:hAnsi="Times New Roman" w:eastAsia="方正仿宋_GBK"/>
          <w:kern w:val="2"/>
          <w:sz w:val="32"/>
          <w:szCs w:val="32"/>
        </w:rPr>
        <w:t>4.70</w:t>
      </w:r>
      <w:r>
        <w:rPr>
          <w:rFonts w:ascii="方正仿宋_GBK" w:hAnsi="方正仿宋_GBK" w:eastAsia="方正仿宋_GBK" w:cs="方正仿宋_GBK"/>
          <w:sz w:val="32"/>
          <w:szCs w:val="32"/>
        </w:rPr>
        <w:t>万元，下降</w:t>
      </w:r>
      <w:r>
        <w:rPr>
          <w:rFonts w:ascii="Times New Roman" w:hAnsi="Times New Roman" w:eastAsia="方正仿宋_GBK"/>
          <w:kern w:val="2"/>
          <w:sz w:val="32"/>
          <w:szCs w:val="32"/>
        </w:rPr>
        <w:t>67.14%</w:t>
      </w:r>
      <w:r>
        <w:rPr>
          <w:rFonts w:ascii="方正仿宋_GBK" w:hAnsi="方正仿宋_GBK" w:eastAsia="方正仿宋_GBK" w:cs="方正仿宋_GBK"/>
          <w:sz w:val="32"/>
          <w:szCs w:val="32"/>
        </w:rPr>
        <w:t>，主要原因是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年调出</w:t>
      </w:r>
    </w:p>
    <w:p>
      <w:pPr>
        <w:spacing w:line="580" w:lineRule="exac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车辆</w:t>
      </w:r>
      <w:r>
        <w:rPr>
          <w:rFonts w:ascii="Times New Roman" w:hAnsi="Times New Roman" w:eastAsia="方正仿宋_GBK"/>
          <w:kern w:val="2"/>
          <w:sz w:val="32"/>
          <w:szCs w:val="32"/>
        </w:rPr>
        <w:t>1</w:t>
      </w:r>
      <w:r>
        <w:rPr>
          <w:rFonts w:ascii="方正仿宋_GBK" w:hAnsi="方正仿宋_GBK" w:eastAsia="方正仿宋_GBK" w:cs="方正仿宋_GBK"/>
          <w:sz w:val="32"/>
          <w:szCs w:val="32"/>
        </w:rPr>
        <w:t>台。较上年支出数增加</w:t>
      </w:r>
      <w:r>
        <w:rPr>
          <w:rFonts w:ascii="Times New Roman" w:hAnsi="Times New Roman" w:eastAsia="方正仿宋_GBK"/>
          <w:kern w:val="2"/>
          <w:sz w:val="32"/>
          <w:szCs w:val="32"/>
        </w:rPr>
        <w:t>1.62</w:t>
      </w:r>
      <w:r>
        <w:rPr>
          <w:rFonts w:ascii="方正仿宋_GBK" w:hAnsi="方正仿宋_GBK" w:eastAsia="方正仿宋_GBK" w:cs="方正仿宋_GBK"/>
          <w:sz w:val="32"/>
          <w:szCs w:val="32"/>
        </w:rPr>
        <w:t>万元，增长</w:t>
      </w:r>
      <w:r>
        <w:rPr>
          <w:rFonts w:ascii="Times New Roman" w:hAnsi="Times New Roman" w:eastAsia="方正仿宋_GBK"/>
          <w:kern w:val="2"/>
          <w:sz w:val="32"/>
          <w:szCs w:val="32"/>
        </w:rPr>
        <w:t>238.24%</w:t>
      </w:r>
      <w:r>
        <w:rPr>
          <w:rFonts w:ascii="方正仿宋_GBK" w:hAnsi="方正仿宋_GBK" w:eastAsia="方正仿宋_GBK" w:cs="方正仿宋_GBK"/>
          <w:sz w:val="32"/>
          <w:szCs w:val="32"/>
        </w:rPr>
        <w:t>，主要原因是我中心</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月纳入财政预算，</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年决算数为</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月至</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12</w:t>
      </w:r>
      <w:r>
        <w:rPr>
          <w:rFonts w:ascii="方正仿宋_GBK" w:hAnsi="方正仿宋_GBK" w:eastAsia="方正仿宋_GBK" w:cs="方正仿宋_GBK"/>
          <w:sz w:val="32"/>
          <w:szCs w:val="32"/>
        </w:rPr>
        <w:t>月数据。</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（二）“三公”经费分项支出情况</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年度本部门因公出国(境)费用</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年未发生因公出国(境)费用。费用支出较年初预算数无增减，主要原因是因公出国(境)费用</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年无年初预算，且</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年未发生因公出国(境)费用。较上年支出数无增减，主要原因是</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年和</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 xml:space="preserve">年均未发生因公出国(境)费用。  </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公务车购置费</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年未发生公务车购置费。费用支出较年初预算数无增减，主要原因是公务车购置费用</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年无年初预算，且</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年未发生公务车购置费。较上年支出数无增减，主要原因是</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年和</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年均未发生公务车购置费。</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公务车运行维护费</w:t>
      </w:r>
      <w:r>
        <w:rPr>
          <w:rFonts w:ascii="Times New Roman" w:hAnsi="Times New Roman" w:eastAsia="方正仿宋_GBK"/>
          <w:kern w:val="2"/>
          <w:sz w:val="32"/>
          <w:szCs w:val="32"/>
        </w:rPr>
        <w:t>2.30</w:t>
      </w:r>
      <w:r>
        <w:rPr>
          <w:rFonts w:ascii="方正仿宋_GBK" w:hAnsi="方正仿宋_GBK" w:eastAsia="方正仿宋_GBK" w:cs="方正仿宋_GBK"/>
          <w:sz w:val="32"/>
          <w:szCs w:val="32"/>
        </w:rPr>
        <w:t>万元，主要用于公务车维修费、停车费等支出，较年初预算数减少</w:t>
      </w:r>
      <w:r>
        <w:rPr>
          <w:rFonts w:ascii="Times New Roman" w:hAnsi="Times New Roman" w:eastAsia="方正仿宋_GBK"/>
          <w:kern w:val="2"/>
          <w:sz w:val="32"/>
          <w:szCs w:val="32"/>
        </w:rPr>
        <w:t>3.70</w:t>
      </w:r>
      <w:r>
        <w:rPr>
          <w:rFonts w:ascii="方正仿宋_GBK" w:hAnsi="方正仿宋_GBK" w:eastAsia="方正仿宋_GBK" w:cs="方正仿宋_GBK"/>
          <w:sz w:val="32"/>
          <w:szCs w:val="32"/>
        </w:rPr>
        <w:t>万元，下降</w:t>
      </w:r>
      <w:r>
        <w:rPr>
          <w:rFonts w:ascii="Times New Roman" w:hAnsi="Times New Roman" w:eastAsia="方正仿宋_GBK"/>
          <w:kern w:val="2"/>
          <w:sz w:val="32"/>
          <w:szCs w:val="32"/>
        </w:rPr>
        <w:t>61.67%</w:t>
      </w:r>
      <w:r>
        <w:rPr>
          <w:rFonts w:ascii="方正仿宋_GBK" w:hAnsi="方正仿宋_GBK" w:eastAsia="方正仿宋_GBK" w:cs="方正仿宋_GBK"/>
          <w:sz w:val="32"/>
          <w:szCs w:val="32"/>
        </w:rPr>
        <w:t>，主要原因是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年调出车辆</w:t>
      </w:r>
      <w:r>
        <w:rPr>
          <w:rFonts w:ascii="Times New Roman" w:hAnsi="Times New Roman" w:eastAsia="方正仿宋_GBK"/>
          <w:kern w:val="2"/>
          <w:sz w:val="32"/>
          <w:szCs w:val="32"/>
        </w:rPr>
        <w:t>1</w:t>
      </w:r>
      <w:r>
        <w:rPr>
          <w:rFonts w:ascii="方正仿宋_GBK" w:hAnsi="方正仿宋_GBK" w:eastAsia="方正仿宋_GBK" w:cs="方正仿宋_GBK"/>
          <w:sz w:val="32"/>
          <w:szCs w:val="32"/>
        </w:rPr>
        <w:t>台。较上年支出数增加</w:t>
      </w:r>
      <w:r>
        <w:rPr>
          <w:rFonts w:ascii="Times New Roman" w:hAnsi="Times New Roman" w:eastAsia="方正仿宋_GBK"/>
          <w:kern w:val="2"/>
          <w:sz w:val="32"/>
          <w:szCs w:val="32"/>
        </w:rPr>
        <w:t>1.62</w:t>
      </w:r>
      <w:r>
        <w:rPr>
          <w:rFonts w:ascii="方正仿宋_GBK" w:hAnsi="方正仿宋_GBK" w:eastAsia="方正仿宋_GBK" w:cs="方正仿宋_GBK"/>
          <w:sz w:val="32"/>
          <w:szCs w:val="32"/>
        </w:rPr>
        <w:t>万元，增长</w:t>
      </w:r>
      <w:r>
        <w:rPr>
          <w:rFonts w:ascii="Times New Roman" w:hAnsi="Times New Roman" w:eastAsia="方正仿宋_GBK"/>
          <w:kern w:val="2"/>
          <w:sz w:val="32"/>
          <w:szCs w:val="32"/>
        </w:rPr>
        <w:t>238.24%</w:t>
      </w:r>
      <w:r>
        <w:rPr>
          <w:rFonts w:ascii="方正仿宋_GBK" w:hAnsi="方正仿宋_GBK" w:eastAsia="方正仿宋_GBK" w:cs="方正仿宋_GBK"/>
          <w:sz w:val="32"/>
          <w:szCs w:val="32"/>
        </w:rPr>
        <w:t>，主要原因是我中心</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月纳入财政预算，</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年决算数为</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5</w:t>
      </w:r>
      <w:r>
        <w:rPr>
          <w:rFonts w:ascii="方正仿宋_GBK" w:hAnsi="方正仿宋_GBK" w:eastAsia="方正仿宋_GBK" w:cs="方正仿宋_GBK"/>
          <w:sz w:val="32"/>
          <w:szCs w:val="32"/>
        </w:rPr>
        <w:t>月至</w:t>
      </w:r>
      <w:r>
        <w:rPr>
          <w:rFonts w:ascii="Times New Roman" w:hAnsi="Times New Roman" w:eastAsia="方正仿宋_GBK"/>
          <w:kern w:val="2"/>
          <w:sz w:val="32"/>
          <w:szCs w:val="32"/>
        </w:rPr>
        <w:t>2022</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12</w:t>
      </w:r>
      <w:r>
        <w:rPr>
          <w:rFonts w:ascii="方正仿宋_GBK" w:hAnsi="方正仿宋_GBK" w:eastAsia="方正仿宋_GBK" w:cs="方正仿宋_GBK"/>
          <w:sz w:val="32"/>
          <w:szCs w:val="32"/>
        </w:rPr>
        <w:t>月数据。</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公务接待费</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万元，费用支出较年初预算数减少</w:t>
      </w:r>
      <w:r>
        <w:rPr>
          <w:rFonts w:ascii="Times New Roman" w:hAnsi="Times New Roman" w:eastAsia="方正仿宋_GBK"/>
          <w:kern w:val="2"/>
          <w:sz w:val="32"/>
          <w:szCs w:val="32"/>
        </w:rPr>
        <w:t>1.00</w:t>
      </w:r>
      <w:r>
        <w:rPr>
          <w:rFonts w:ascii="方正仿宋_GBK" w:hAnsi="方正仿宋_GBK" w:eastAsia="方正仿宋_GBK" w:cs="方正仿宋_GBK"/>
          <w:sz w:val="32"/>
          <w:szCs w:val="32"/>
        </w:rPr>
        <w:t>万元，下降</w:t>
      </w:r>
      <w:r>
        <w:rPr>
          <w:rFonts w:ascii="Times New Roman" w:hAnsi="Times New Roman" w:eastAsia="方正仿宋_GBK"/>
          <w:kern w:val="2"/>
          <w:sz w:val="32"/>
          <w:szCs w:val="32"/>
        </w:rPr>
        <w:t>100.00%</w:t>
      </w:r>
      <w:r>
        <w:rPr>
          <w:rFonts w:ascii="方正仿宋_GBK" w:hAnsi="方正仿宋_GBK" w:eastAsia="方正仿宋_GBK" w:cs="方正仿宋_GBK"/>
          <w:sz w:val="32"/>
          <w:szCs w:val="32"/>
        </w:rPr>
        <w:t>，主要原因是本年无公务接待费列支。较上年支出数无增减。</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（三）“三公”经费实物量情况</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年度本部门因公出国（境）共计</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个团组，</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人；公务用车购置</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辆，公务车保有量为</w:t>
      </w:r>
      <w:r>
        <w:rPr>
          <w:rFonts w:ascii="Times New Roman" w:hAnsi="Times New Roman" w:eastAsia="方正仿宋_GBK"/>
          <w:kern w:val="2"/>
          <w:sz w:val="32"/>
          <w:szCs w:val="32"/>
        </w:rPr>
        <w:t>1</w:t>
      </w:r>
      <w:r>
        <w:rPr>
          <w:rFonts w:ascii="方正仿宋_GBK" w:hAnsi="方正仿宋_GBK" w:eastAsia="方正仿宋_GBK" w:cs="方正仿宋_GBK"/>
          <w:sz w:val="32"/>
          <w:szCs w:val="32"/>
        </w:rPr>
        <w:t>辆；国内公务接待</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批次</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人，其中：国内外事接待</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批次，</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人；国（境）外公务接待</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批次，</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人。</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年本部门人均接待费</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元，车均购置费</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万元，车均维护费</w:t>
      </w:r>
      <w:r>
        <w:rPr>
          <w:rFonts w:ascii="Times New Roman" w:hAnsi="Times New Roman" w:eastAsia="方正仿宋_GBK"/>
          <w:kern w:val="2"/>
          <w:sz w:val="32"/>
          <w:szCs w:val="32"/>
        </w:rPr>
        <w:t>2.30</w:t>
      </w:r>
      <w:r>
        <w:rPr>
          <w:rFonts w:ascii="方正仿宋_GBK" w:hAnsi="方正仿宋_GBK" w:eastAsia="方正仿宋_GBK" w:cs="方正仿宋_GBK"/>
          <w:sz w:val="32"/>
          <w:szCs w:val="32"/>
        </w:rPr>
        <w:t>万元。</w:t>
      </w:r>
    </w:p>
    <w:p>
      <w:pPr>
        <w:spacing w:line="58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四、其他需要说明的事项</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（一）财政拨款会议费和培训费情况说明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本年度会议费支出</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万元，较上年决算数减少</w:t>
      </w:r>
      <w:r>
        <w:rPr>
          <w:rFonts w:ascii="Times New Roman" w:hAnsi="Times New Roman" w:eastAsia="方正仿宋_GBK"/>
          <w:kern w:val="2"/>
          <w:sz w:val="32"/>
          <w:szCs w:val="32"/>
        </w:rPr>
        <w:t>0.29</w:t>
      </w:r>
      <w:r>
        <w:rPr>
          <w:rFonts w:ascii="方正仿宋_GBK" w:hAnsi="方正仿宋_GBK" w:eastAsia="方正仿宋_GBK" w:cs="方正仿宋_GBK"/>
          <w:sz w:val="32"/>
          <w:szCs w:val="32"/>
        </w:rPr>
        <w:t>万元，下降</w:t>
      </w:r>
      <w:r>
        <w:rPr>
          <w:rFonts w:ascii="Times New Roman" w:hAnsi="Times New Roman" w:eastAsia="方正仿宋_GBK"/>
          <w:kern w:val="2"/>
          <w:sz w:val="32"/>
          <w:szCs w:val="32"/>
        </w:rPr>
        <w:t>100.00%</w:t>
      </w:r>
      <w:r>
        <w:rPr>
          <w:rFonts w:ascii="方正仿宋_GBK" w:hAnsi="方正仿宋_GBK" w:eastAsia="方正仿宋_GBK" w:cs="方正仿宋_GBK"/>
          <w:sz w:val="32"/>
          <w:szCs w:val="32"/>
        </w:rPr>
        <w:t>，主要原因是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年无会议费列支。本年度培训费支出</w:t>
      </w:r>
      <w:r>
        <w:rPr>
          <w:rFonts w:ascii="Times New Roman" w:hAnsi="Times New Roman" w:eastAsia="方正仿宋_GBK"/>
          <w:kern w:val="2"/>
          <w:sz w:val="32"/>
          <w:szCs w:val="32"/>
        </w:rPr>
        <w:t>5.09</w:t>
      </w:r>
      <w:r>
        <w:rPr>
          <w:rFonts w:ascii="方正仿宋_GBK" w:hAnsi="方正仿宋_GBK" w:eastAsia="方正仿宋_GBK" w:cs="方正仿宋_GBK"/>
          <w:sz w:val="32"/>
          <w:szCs w:val="32"/>
        </w:rPr>
        <w:t>万元，较上年决算数增加</w:t>
      </w:r>
      <w:r>
        <w:rPr>
          <w:rFonts w:ascii="Times New Roman" w:hAnsi="Times New Roman" w:eastAsia="方正仿宋_GBK"/>
          <w:kern w:val="2"/>
          <w:sz w:val="32"/>
          <w:szCs w:val="32"/>
        </w:rPr>
        <w:t>3.61</w:t>
      </w:r>
      <w:r>
        <w:rPr>
          <w:rFonts w:ascii="方正仿宋_GBK" w:hAnsi="方正仿宋_GBK" w:eastAsia="方正仿宋_GBK" w:cs="方正仿宋_GBK"/>
          <w:sz w:val="32"/>
          <w:szCs w:val="32"/>
        </w:rPr>
        <w:t>万元，增长</w:t>
      </w:r>
      <w:r>
        <w:rPr>
          <w:rFonts w:ascii="Times New Roman" w:hAnsi="Times New Roman" w:eastAsia="方正仿宋_GBK"/>
          <w:kern w:val="2"/>
          <w:sz w:val="32"/>
          <w:szCs w:val="32"/>
        </w:rPr>
        <w:t>243.92%</w:t>
      </w:r>
      <w:r>
        <w:rPr>
          <w:rFonts w:ascii="方正仿宋_GBK" w:hAnsi="方正仿宋_GBK" w:eastAsia="方正仿宋_GBK" w:cs="方正仿宋_GBK"/>
          <w:sz w:val="32"/>
          <w:szCs w:val="32"/>
        </w:rPr>
        <w:t>，主要原因是</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年组织了全区物业专项维修资金政策法规宣传及业务培训会。</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（二）机关运行经费情况说明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我单位不在机关运行经费统计范围之内。</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（三）国有资产占用情况说明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截至</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w:t>
      </w:r>
      <w:r>
        <w:rPr>
          <w:rFonts w:ascii="Times New Roman" w:hAnsi="Times New Roman" w:eastAsia="方正仿宋_GBK"/>
          <w:kern w:val="2"/>
          <w:sz w:val="32"/>
          <w:szCs w:val="32"/>
        </w:rPr>
        <w:t>12</w:t>
      </w:r>
      <w:r>
        <w:rPr>
          <w:rFonts w:ascii="方正仿宋_GBK" w:hAnsi="方正仿宋_GBK" w:eastAsia="方正仿宋_GBK" w:cs="方正仿宋_GBK"/>
          <w:sz w:val="32"/>
          <w:szCs w:val="32"/>
        </w:rPr>
        <w:t>月</w:t>
      </w:r>
      <w:r>
        <w:rPr>
          <w:rFonts w:ascii="Times New Roman" w:hAnsi="Times New Roman" w:eastAsia="方正仿宋_GBK"/>
          <w:kern w:val="2"/>
          <w:sz w:val="32"/>
          <w:szCs w:val="32"/>
        </w:rPr>
        <w:t>31</w:t>
      </w:r>
      <w:r>
        <w:rPr>
          <w:rFonts w:ascii="方正仿宋_GBK" w:hAnsi="方正仿宋_GBK" w:eastAsia="方正仿宋_GBK" w:cs="方正仿宋_GBK"/>
          <w:sz w:val="32"/>
          <w:szCs w:val="32"/>
        </w:rPr>
        <w:t>日，本部门共有车辆</w:t>
      </w:r>
      <w:r>
        <w:rPr>
          <w:rFonts w:ascii="Times New Roman" w:hAnsi="Times New Roman" w:eastAsia="方正仿宋_GBK"/>
          <w:kern w:val="2"/>
          <w:sz w:val="32"/>
          <w:szCs w:val="32"/>
        </w:rPr>
        <w:t>1</w:t>
      </w:r>
      <w:r>
        <w:rPr>
          <w:rFonts w:ascii="方正仿宋_GBK" w:hAnsi="方正仿宋_GBK" w:eastAsia="方正仿宋_GBK" w:cs="方正仿宋_GBK"/>
          <w:sz w:val="32"/>
          <w:szCs w:val="32"/>
        </w:rPr>
        <w:t>辆，其中，副部（省）级及以上领导用车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辆、主要负责人用车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辆、机要通信用车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辆、应急保障用车</w:t>
      </w:r>
      <w:r>
        <w:rPr>
          <w:rFonts w:ascii="Times New Roman" w:hAnsi="Times New Roman" w:eastAsia="方正仿宋_GBK"/>
          <w:kern w:val="2"/>
          <w:sz w:val="32"/>
          <w:szCs w:val="32"/>
        </w:rPr>
        <w:t>1</w:t>
      </w:r>
      <w:r>
        <w:rPr>
          <w:rFonts w:ascii="方正仿宋_GBK" w:hAnsi="方正仿宋_GBK" w:eastAsia="方正仿宋_GBK" w:cs="方正仿宋_GBK"/>
          <w:sz w:val="32"/>
          <w:szCs w:val="32"/>
        </w:rPr>
        <w:t>辆、执法执勤用车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辆，特种专业技术用车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辆，离退休干部用车</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辆。单价</w:t>
      </w:r>
      <w:r>
        <w:rPr>
          <w:rFonts w:ascii="Times New Roman" w:hAnsi="Times New Roman" w:eastAsia="方正仿宋_GBK"/>
          <w:kern w:val="2"/>
          <w:sz w:val="32"/>
          <w:szCs w:val="32"/>
        </w:rPr>
        <w:t>100</w:t>
      </w:r>
      <w:r>
        <w:rPr>
          <w:rFonts w:ascii="方正仿宋_GBK" w:hAnsi="方正仿宋_GBK" w:eastAsia="方正仿宋_GBK" w:cs="方正仿宋_GBK"/>
          <w:sz w:val="32"/>
          <w:szCs w:val="32"/>
        </w:rPr>
        <w:t>万元（含）以上专用设备</w:t>
      </w:r>
      <w:r>
        <w:rPr>
          <w:rFonts w:ascii="Times New Roman" w:hAnsi="Times New Roman" w:eastAsia="方正仿宋_GBK"/>
          <w:kern w:val="2"/>
          <w:sz w:val="32"/>
          <w:szCs w:val="32"/>
        </w:rPr>
        <w:t>0</w:t>
      </w:r>
      <w:r>
        <w:rPr>
          <w:rFonts w:ascii="方正仿宋_GBK" w:hAnsi="方正仿宋_GBK" w:eastAsia="方正仿宋_GBK" w:cs="方正仿宋_GBK"/>
          <w:sz w:val="32"/>
          <w:szCs w:val="32"/>
        </w:rPr>
        <w:t>台（套）。</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（四）政府采购支出情况说明</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w:t>
      </w:r>
      <w:r>
        <w:rPr>
          <w:rFonts w:ascii="Times New Roman" w:hAnsi="Times New Roman" w:eastAsia="方正仿宋_GBK"/>
          <w:kern w:val="2"/>
          <w:sz w:val="32"/>
          <w:szCs w:val="32"/>
        </w:rPr>
        <w:t>2023</w:t>
      </w:r>
      <w:r>
        <w:rPr>
          <w:rFonts w:ascii="方正仿宋_GBK" w:hAnsi="方正仿宋_GBK" w:eastAsia="方正仿宋_GBK" w:cs="方正仿宋_GBK"/>
          <w:sz w:val="32"/>
          <w:szCs w:val="32"/>
        </w:rPr>
        <w:t>年度本部门政府采购支出总额</w:t>
      </w:r>
      <w:r>
        <w:rPr>
          <w:rFonts w:ascii="Times New Roman" w:hAnsi="Times New Roman" w:eastAsia="方正仿宋_GBK"/>
          <w:kern w:val="2"/>
          <w:sz w:val="32"/>
          <w:szCs w:val="32"/>
        </w:rPr>
        <w:t>1.12</w:t>
      </w:r>
      <w:r>
        <w:rPr>
          <w:rFonts w:ascii="方正仿宋_GBK" w:hAnsi="方正仿宋_GBK" w:eastAsia="方正仿宋_GBK" w:cs="方正仿宋_GBK"/>
          <w:sz w:val="32"/>
          <w:szCs w:val="32"/>
        </w:rPr>
        <w:t>万元，其中：政府采购货物支出</w:t>
      </w:r>
      <w:r>
        <w:rPr>
          <w:rFonts w:ascii="Times New Roman" w:hAnsi="Times New Roman" w:eastAsia="方正仿宋_GBK"/>
          <w:kern w:val="2"/>
          <w:sz w:val="32"/>
          <w:szCs w:val="32"/>
        </w:rPr>
        <w:t>1.12</w:t>
      </w:r>
      <w:r>
        <w:rPr>
          <w:rFonts w:ascii="方正仿宋_GBK" w:hAnsi="方正仿宋_GBK" w:eastAsia="方正仿宋_GBK" w:cs="方正仿宋_GBK"/>
          <w:sz w:val="32"/>
          <w:szCs w:val="32"/>
        </w:rPr>
        <w:t>万元、政府采购工程支出</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万元、政府采购服务支出</w:t>
      </w:r>
      <w:r>
        <w:rPr>
          <w:rFonts w:ascii="Times New Roman" w:hAnsi="Times New Roman" w:eastAsia="方正仿宋_GBK"/>
          <w:kern w:val="2"/>
          <w:sz w:val="32"/>
          <w:szCs w:val="32"/>
        </w:rPr>
        <w:t>0.00</w:t>
      </w:r>
      <w:r>
        <w:rPr>
          <w:rFonts w:ascii="方正仿宋_GBK" w:hAnsi="方正仿宋_GBK" w:eastAsia="方正仿宋_GBK" w:cs="方正仿宋_GBK"/>
          <w:sz w:val="32"/>
          <w:szCs w:val="32"/>
        </w:rPr>
        <w:t>万元。授予中小企业合同金额</w:t>
      </w:r>
      <w:r>
        <w:rPr>
          <w:rFonts w:ascii="Times New Roman" w:hAnsi="Times New Roman" w:eastAsia="方正仿宋_GBK"/>
          <w:kern w:val="2"/>
          <w:sz w:val="32"/>
          <w:szCs w:val="32"/>
        </w:rPr>
        <w:t>1.12</w:t>
      </w:r>
      <w:r>
        <w:rPr>
          <w:rFonts w:ascii="方正仿宋_GBK" w:hAnsi="方正仿宋_GBK" w:eastAsia="方正仿宋_GBK" w:cs="方正仿宋_GBK"/>
          <w:sz w:val="32"/>
          <w:szCs w:val="32"/>
        </w:rPr>
        <w:t>万元，占政府采购支出总额的</w:t>
      </w:r>
      <w:r>
        <w:rPr>
          <w:rFonts w:ascii="Times New Roman" w:hAnsi="Times New Roman" w:eastAsia="方正仿宋_GBK"/>
          <w:kern w:val="2"/>
          <w:sz w:val="32"/>
          <w:szCs w:val="32"/>
        </w:rPr>
        <w:t>100.00%</w:t>
      </w:r>
      <w:r>
        <w:rPr>
          <w:rFonts w:ascii="方正仿宋_GBK" w:hAnsi="方正仿宋_GBK" w:eastAsia="方正仿宋_GBK" w:cs="方正仿宋_GBK"/>
          <w:sz w:val="32"/>
          <w:szCs w:val="32"/>
        </w:rPr>
        <w:t>，其中：授予小微企业合同金额</w:t>
      </w:r>
      <w:r>
        <w:rPr>
          <w:rFonts w:ascii="Times New Roman" w:hAnsi="Times New Roman" w:eastAsia="方正仿宋_GBK"/>
          <w:kern w:val="2"/>
          <w:sz w:val="32"/>
          <w:szCs w:val="32"/>
        </w:rPr>
        <w:t>1.12</w:t>
      </w:r>
      <w:r>
        <w:rPr>
          <w:rFonts w:ascii="方正仿宋_GBK" w:hAnsi="方正仿宋_GBK" w:eastAsia="方正仿宋_GBK" w:cs="方正仿宋_GBK"/>
          <w:sz w:val="32"/>
          <w:szCs w:val="32"/>
        </w:rPr>
        <w:t>万元，占政府采购支出总额的</w:t>
      </w:r>
      <w:r>
        <w:rPr>
          <w:rFonts w:ascii="Times New Roman" w:hAnsi="Times New Roman" w:eastAsia="方正仿宋_GBK"/>
          <w:kern w:val="2"/>
          <w:sz w:val="32"/>
          <w:szCs w:val="32"/>
        </w:rPr>
        <w:t>100.00 %</w:t>
      </w:r>
      <w:r>
        <w:rPr>
          <w:rFonts w:ascii="方正仿宋_GBK" w:hAnsi="方正仿宋_GBK" w:eastAsia="方正仿宋_GBK" w:cs="方正仿宋_GBK"/>
          <w:sz w:val="32"/>
          <w:szCs w:val="32"/>
        </w:rPr>
        <w:t>。主要用于采购计算机。</w:t>
      </w:r>
    </w:p>
    <w:p>
      <w:pPr>
        <w:spacing w:line="58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 xml:space="preserve"> 五、预算绩效管理情况说明</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（一）单位自评情况</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根据预算绩效管理要求，我单位对</w:t>
      </w:r>
      <w:r>
        <w:rPr>
          <w:rFonts w:ascii="Times New Roman" w:hAnsi="Times New Roman" w:eastAsia="方正仿宋_GBK"/>
          <w:kern w:val="2"/>
          <w:sz w:val="32"/>
          <w:szCs w:val="32"/>
        </w:rPr>
        <w:t>2</w:t>
      </w:r>
      <w:r>
        <w:rPr>
          <w:rFonts w:ascii="方正仿宋_GBK" w:hAnsi="方正仿宋_GBK" w:eastAsia="方正仿宋_GBK" w:cs="方正仿宋_GBK"/>
          <w:sz w:val="32"/>
          <w:szCs w:val="32"/>
        </w:rPr>
        <w:t>个二级项目开展了绩效自评，涉及财政拨款项目支出资金</w:t>
      </w:r>
      <w:r>
        <w:rPr>
          <w:rFonts w:ascii="Times New Roman" w:hAnsi="Times New Roman" w:eastAsia="方正仿宋_GBK"/>
          <w:kern w:val="2"/>
          <w:sz w:val="32"/>
          <w:szCs w:val="32"/>
        </w:rPr>
        <w:t>81.34</w:t>
      </w:r>
      <w:r>
        <w:rPr>
          <w:rFonts w:ascii="方正仿宋_GBK" w:hAnsi="方正仿宋_GBK" w:eastAsia="方正仿宋_GBK" w:cs="方正仿宋_GBK"/>
          <w:sz w:val="32"/>
          <w:szCs w:val="32"/>
        </w:rPr>
        <w:t>万元。</w:t>
      </w:r>
    </w:p>
    <w:p>
      <w:pPr>
        <w:spacing w:line="580" w:lineRule="exact"/>
        <w:ind w:firstLine="640" w:firstLineChars="200"/>
        <w:rPr>
          <w:rFonts w:hint="default" w:ascii="Times New Roman" w:hAnsi="Times New Roman" w:eastAsia="方正楷体_GBK"/>
          <w:kern w:val="2"/>
          <w:sz w:val="32"/>
          <w:szCs w:val="32"/>
        </w:rPr>
      </w:pPr>
      <w:r>
        <w:rPr>
          <w:rFonts w:ascii="Times New Roman" w:hAnsi="Times New Roman" w:eastAsia="方正楷体_GBK"/>
          <w:kern w:val="2"/>
          <w:sz w:val="32"/>
          <w:szCs w:val="32"/>
        </w:rPr>
        <w:t>（二）单位绩效评价情况</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spacing w:line="58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六、专业名词解释</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以下为常见专业名词解释目录，仅供参考，</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（一）财政拨款收入：</w:t>
      </w:r>
      <w:r>
        <w:rPr>
          <w:rFonts w:ascii="方正仿宋_GBK" w:hAnsi="方正仿宋_GBK" w:eastAsia="方正仿宋_GBK" w:cs="方正仿宋_GBK"/>
          <w:sz w:val="32"/>
          <w:szCs w:val="32"/>
        </w:rPr>
        <w:t>指本年度从本级财政部门取得的财政拨款，包括一般公共预算财政拨款和政府性基金预算财政拨款。</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（二）事业收入：</w:t>
      </w:r>
      <w:r>
        <w:rPr>
          <w:rFonts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（三）经营收入：</w:t>
      </w:r>
      <w:r>
        <w:rPr>
          <w:rFonts w:ascii="方正仿宋_GBK" w:hAnsi="方正仿宋_GBK" w:eastAsia="方正仿宋_GBK" w:cs="方正仿宋_GBK"/>
          <w:sz w:val="32"/>
          <w:szCs w:val="32"/>
        </w:rPr>
        <w:t>指事业单位在专业业务活动及其辅助活动之外开展非独立核算经营活动取得的现金流入。</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（四）其他收入：</w:t>
      </w:r>
      <w:r>
        <w:rPr>
          <w:rFonts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（五）使用非财政拨款结余：</w:t>
      </w:r>
      <w:r>
        <w:rPr>
          <w:rFonts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w:t>
      </w:r>
      <w:r>
        <w:rPr>
          <w:rFonts w:ascii="Times New Roman" w:hAnsi="Times New Roman" w:eastAsia="方正楷体_GBK"/>
          <w:kern w:val="2"/>
          <w:sz w:val="32"/>
          <w:szCs w:val="32"/>
        </w:rPr>
        <w:t>（六）年初结转和结余：</w:t>
      </w:r>
      <w:r>
        <w:rPr>
          <w:rFonts w:ascii="方正仿宋_GBK" w:hAnsi="方正仿宋_GBK" w:eastAsia="方正仿宋_GBK" w:cs="方正仿宋_GBK"/>
          <w:sz w:val="32"/>
          <w:szCs w:val="32"/>
        </w:rPr>
        <w:t>指单位上年结转本年使用的基本支出结转、项目支出结转和结余、经营结余。</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（七）结余分配：</w:t>
      </w:r>
      <w:r>
        <w:rPr>
          <w:rFonts w:ascii="方正仿宋_GBK" w:hAnsi="方正仿宋_GBK" w:eastAsia="方正仿宋_GBK" w:cs="方正仿宋_GBK"/>
          <w:sz w:val="32"/>
          <w:szCs w:val="32"/>
        </w:rPr>
        <w:t>指单位按照国家有关规定，缴纳所得税、提取专用基金、转入非财政拨款结余等当年结余的分配情况。</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（八）年末结转和结余：</w:t>
      </w:r>
      <w:r>
        <w:rPr>
          <w:rFonts w:ascii="方正仿宋_GBK" w:hAnsi="方正仿宋_GBK" w:eastAsia="方正仿宋_GBK" w:cs="方正仿宋_GBK"/>
          <w:sz w:val="32"/>
          <w:szCs w:val="32"/>
        </w:rPr>
        <w:t>指单位结转下年的基本支出结转、项目支出结转和结余、经营结余。</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（九）基本支出：</w:t>
      </w:r>
      <w:r>
        <w:rPr>
          <w:rFonts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（十）项目支出：</w:t>
      </w:r>
      <w:r>
        <w:rPr>
          <w:rFonts w:ascii="方正仿宋_GBK" w:hAnsi="方正仿宋_GBK" w:eastAsia="方正仿宋_GBK" w:cs="方正仿宋_GBK"/>
          <w:sz w:val="32"/>
          <w:szCs w:val="32"/>
        </w:rPr>
        <w:t>指在基本支出之外为完成特定行政任务和事业发展目标所发生的支出。</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（十一）经营支出：</w:t>
      </w:r>
      <w:r>
        <w:rPr>
          <w:rFonts w:ascii="方正仿宋_GBK" w:hAnsi="方正仿宋_GBK" w:eastAsia="方正仿宋_GBK" w:cs="方正仿宋_GBK"/>
          <w:sz w:val="32"/>
          <w:szCs w:val="32"/>
        </w:rPr>
        <w:t>指事业单位在专业业务活动及其辅助活动之外开展非独立核算经营活动发生的支出。</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（十二）“三公”经费：</w:t>
      </w:r>
      <w:r>
        <w:rPr>
          <w:rFonts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（十三）机关运行经费：</w:t>
      </w:r>
      <w:r>
        <w:rPr>
          <w:rFonts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（十四）工资福利支出（支出经济分类科目类级）：</w:t>
      </w:r>
      <w:r>
        <w:rPr>
          <w:rFonts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（十五）商品和服务支出（支出经济分类科目类级）：</w:t>
      </w:r>
      <w:r>
        <w:rPr>
          <w:rFonts w:ascii="方正仿宋_GBK" w:hAnsi="方正仿宋_GBK" w:eastAsia="方正仿宋_GBK" w:cs="方正仿宋_GBK"/>
          <w:sz w:val="32"/>
          <w:szCs w:val="32"/>
        </w:rPr>
        <w:t>反映单位购买商品和服务的支出（不包括用于购置固定资产的支出、战略性和应急储备支出）。</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w:t>
      </w:r>
      <w:r>
        <w:rPr>
          <w:rFonts w:ascii="Times New Roman" w:hAnsi="Times New Roman" w:eastAsia="方正楷体_GBK"/>
          <w:kern w:val="2"/>
          <w:sz w:val="32"/>
          <w:szCs w:val="32"/>
        </w:rPr>
        <w:t>（十六）对个人和家庭的补助（支出经济分类科目类级）：</w:t>
      </w:r>
      <w:r>
        <w:rPr>
          <w:rFonts w:ascii="方正仿宋_GBK" w:hAnsi="方正仿宋_GBK" w:eastAsia="方正仿宋_GBK" w:cs="方正仿宋_GBK"/>
          <w:sz w:val="32"/>
          <w:szCs w:val="32"/>
        </w:rPr>
        <w:t>反映用于对个人和家庭的补助支出。</w:t>
      </w:r>
    </w:p>
    <w:p>
      <w:pPr>
        <w:spacing w:line="580" w:lineRule="exact"/>
        <w:ind w:firstLine="640" w:firstLineChars="200"/>
        <w:rPr>
          <w:rFonts w:hint="default" w:ascii="方正仿宋_GBK" w:hAnsi="方正仿宋_GBK" w:eastAsia="方正仿宋_GBK" w:cs="方正仿宋_GBK"/>
          <w:sz w:val="32"/>
          <w:szCs w:val="32"/>
        </w:rPr>
      </w:pPr>
      <w:r>
        <w:rPr>
          <w:rFonts w:ascii="Times New Roman" w:hAnsi="Times New Roman" w:eastAsia="方正楷体_GBK"/>
          <w:kern w:val="2"/>
          <w:sz w:val="32"/>
          <w:szCs w:val="32"/>
        </w:rPr>
        <w:t> （十七）其他资本性支出（支出经济分类科目类级）：</w:t>
      </w:r>
      <w:r>
        <w:rPr>
          <w:rFonts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w:t>
      </w:r>
      <w:r>
        <w:rPr>
          <w:rFonts w:ascii="方正黑体_GBK" w:hAnsi="方正黑体_GBK" w:eastAsia="方正黑体_GBK" w:cs="方正黑体_GBK"/>
          <w:sz w:val="32"/>
          <w:szCs w:val="32"/>
        </w:rPr>
        <w:t>七、决算公开联系方式及信息反馈渠道</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本单位决算公开信息反馈和联系方式：</w:t>
      </w:r>
    </w:p>
    <w:p>
      <w:pPr>
        <w:spacing w:line="580" w:lineRule="exact"/>
        <w:ind w:firstLine="640" w:firstLineChars="200"/>
        <w:rPr>
          <w:rFonts w:hint="default" w:ascii="Times New Roman" w:hAnsi="Times New Roman" w:eastAsia="方正仿宋_GBK"/>
          <w:kern w:val="2"/>
          <w:sz w:val="32"/>
          <w:szCs w:val="32"/>
        </w:rPr>
      </w:pPr>
      <w:r>
        <w:rPr>
          <w:rFonts w:ascii="方正仿宋_GBK" w:hAnsi="方正仿宋_GBK" w:eastAsia="方正仿宋_GBK" w:cs="方正仿宋_GBK"/>
          <w:sz w:val="32"/>
          <w:szCs w:val="32"/>
        </w:rPr>
        <w:t xml:space="preserve"> </w:t>
      </w:r>
      <w:r>
        <w:rPr>
          <w:rFonts w:ascii="Times New Roman" w:hAnsi="Times New Roman" w:eastAsia="方正仿宋_GBK"/>
          <w:kern w:val="2"/>
          <w:sz w:val="32"/>
          <w:szCs w:val="32"/>
        </w:rPr>
        <w:t>023-63848362</w:t>
      </w:r>
    </w:p>
    <w:p>
      <w:pPr>
        <w:rPr>
          <w:rFonts w:hint="default"/>
        </w:rPr>
      </w:pPr>
    </w:p>
    <w:sectPr>
      <w:headerReference r:id="rId3" w:type="default"/>
      <w:footerReference r:id="rId4" w:type="default"/>
      <w:pgSz w:w="11906" w:h="16838"/>
      <w:pgMar w:top="1134" w:right="1587" w:bottom="1037" w:left="158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9 -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OTM3MjQ2YTQ2NjQ1MDNlMzhmOTU1Mzg4MmYwMzkifQ=="/>
  </w:docVars>
  <w:rsids>
    <w:rsidRoot w:val="00120CCA"/>
    <w:rsid w:val="00120CCA"/>
    <w:rsid w:val="003A2C04"/>
    <w:rsid w:val="003B1A88"/>
    <w:rsid w:val="00564BC7"/>
    <w:rsid w:val="00677F43"/>
    <w:rsid w:val="006F4BFC"/>
    <w:rsid w:val="00D41397"/>
    <w:rsid w:val="00D86C92"/>
    <w:rsid w:val="0F5735F0"/>
    <w:rsid w:val="12FC3893"/>
    <w:rsid w:val="39A4503B"/>
    <w:rsid w:val="463C35CE"/>
    <w:rsid w:val="46F46D35"/>
    <w:rsid w:val="4A2B3C5D"/>
    <w:rsid w:val="546840B4"/>
    <w:rsid w:val="65E52B28"/>
    <w:rsid w:val="75AF5F24"/>
    <w:rsid w:val="7F758FCE"/>
    <w:rsid w:val="D1BF811B"/>
    <w:rsid w:val="FDFBB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ind w:firstLine="200" w:firstLineChars="200"/>
      <w:outlineLvl w:val="0"/>
    </w:pPr>
    <w:rPr>
      <w:rFonts w:eastAsia="方正黑体_GBK"/>
      <w:kern w:val="44"/>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758</Words>
  <Characters>4322</Characters>
  <Lines>36</Lines>
  <Paragraphs>10</Paragraphs>
  <TotalTime>33</TotalTime>
  <ScaleCrop>false</ScaleCrop>
  <LinksUpToDate>false</LinksUpToDate>
  <CharactersWithSpaces>5070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2024-08-27T18:09:00Z</dcterms:created>
  <dc:creator>langchao</dc:creator>
  <cp:lastModifiedBy>重庆市渝中区重点项目建设事务中心</cp:lastModifiedBy>
  <dcterms:modified xsi:type="dcterms:W3CDTF">2024-10-17T03:38:56Z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54AAF11DA6DC8D3D1056CD66D7C61E96</vt:lpwstr>
  </property>
</Properties>
</file>