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3FF43">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重庆市渝中区应急管理局</w:t>
      </w:r>
    </w:p>
    <w:p w14:paraId="6AA9C00B">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313C7B46">
      <w:pPr>
        <w:pStyle w:val="6"/>
        <w:spacing w:before="0" w:beforeAutospacing="0" w:after="0" w:afterAutospacing="0" w:line="596" w:lineRule="exact"/>
        <w:rPr>
          <w:rFonts w:hint="default"/>
          <w:sz w:val="27"/>
          <w:szCs w:val="27"/>
          <w:shd w:val="clear" w:color="auto" w:fill="FFFF00"/>
        </w:rPr>
      </w:pPr>
    </w:p>
    <w:p w14:paraId="31783950">
      <w:pPr>
        <w:pStyle w:val="6"/>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0"/>
          <w:rFonts w:hint="default" w:ascii="Times New Roman" w:hAnsi="Times New Roman" w:eastAsia="方正黑体_GBK" w:cs="Times New Roman"/>
          <w:b w:val="0"/>
          <w:bCs/>
          <w:color w:val="auto"/>
          <w:sz w:val="32"/>
          <w:szCs w:val="32"/>
          <w:shd w:val="clear" w:color="auto" w:fill="FFFFFF"/>
        </w:rPr>
      </w:pPr>
      <w:r>
        <w:rPr>
          <w:rStyle w:val="10"/>
          <w:rFonts w:hint="default" w:ascii="Times New Roman" w:hAnsi="Times New Roman" w:eastAsia="方正黑体_GBK" w:cs="Times New Roman"/>
          <w:b w:val="0"/>
          <w:bCs/>
          <w:color w:val="auto"/>
          <w:sz w:val="32"/>
          <w:szCs w:val="32"/>
          <w:shd w:val="clear" w:color="auto" w:fill="FFFFFF"/>
        </w:rPr>
        <w:t>一、部门基本情况</w:t>
      </w:r>
    </w:p>
    <w:p w14:paraId="4B5D4CE5">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b w:val="0"/>
          <w:bCs/>
          <w:color w:val="auto"/>
          <w:sz w:val="32"/>
          <w:szCs w:val="32"/>
          <w:shd w:val="clear" w:color="auto" w:fill="FFFFFF"/>
        </w:rPr>
        <w:t>（一）职能职责</w:t>
      </w:r>
    </w:p>
    <w:p w14:paraId="6A9F2295">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val="en-US" w:eastAsia="zh-CN"/>
        </w:rPr>
        <w:t>1.</w:t>
      </w:r>
      <w:r>
        <w:rPr>
          <w:rFonts w:hint="default" w:ascii="Times New Roman" w:hAnsi="Times New Roman" w:eastAsia="方正仿宋_GBK" w:cs="Times New Roman"/>
          <w:color w:val="auto"/>
          <w:sz w:val="32"/>
          <w:szCs w:val="32"/>
          <w:shd w:val="clear" w:color="auto" w:fill="FFFFFF"/>
        </w:rPr>
        <w:t>负责应急管理工作，指导协调各单位应对安全生产类、自然灾害类等突发事件和综合防灾减灾救灾工作。负责安全生产综合监督管理工作。</w:t>
      </w:r>
    </w:p>
    <w:p w14:paraId="3C1B26DB">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2.贯彻执行国家应急管理和安全生产方面的法律、法规、规章和标准，组织编制全区应急体系建设、安全生产和综合防灾减灾规划，起草相关领域规范性文件草案。</w:t>
      </w:r>
    </w:p>
    <w:p w14:paraId="0B226965">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3.指导全区应急预案体系建设，建立完善事故灾难和自然灾害分级应对制度，组织编制全区总体应急预案和安全生产类、自然灾害类专项预案，综合协调应急预案衔接工作，组织开展预案演练，推动应急避难设施建设。</w:t>
      </w:r>
    </w:p>
    <w:p w14:paraId="077DC7C9">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4.牵头建立全区应急管理信息系统，建立监测预警和灾情报告制度，健全自然灾害信息资源获取和共享机制，依法统一发布灾情。</w:t>
      </w:r>
    </w:p>
    <w:p w14:paraId="3416AC20">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5.组织协调全区安全生产类、自然灾害类等突发事件应急救援，承担区应对重大灾害指挥部工作，综合研判突发事件发展态势并提出应对建议，协助区委、区政府指定的负责同志组织重大灾害应急处置工作。</w:t>
      </w:r>
    </w:p>
    <w:p w14:paraId="4ED2678C">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6.建立应急协调联动机制，推进指挥平台对接，统一协调指挥全区各类应急救援队伍开展有关应急救援工作。衔接驻区解放军和武警部队参与应急救援工作</w:t>
      </w:r>
    </w:p>
    <w:p w14:paraId="494D443A">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7.统筹全区应急救援力量建设，负责消防、抗洪抢险、地震和地质灾害救援、生产安全事故救援等专业应急救援力量建设，负责区委、区政府对区综合性应急救援队伍业务建设、队伍建设的指导和管理的协调组织，指导街道及社会应急救援力量建设。</w:t>
      </w:r>
    </w:p>
    <w:p w14:paraId="19907B87">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8.统筹协调消防工作，指导消防监督、火灾预防、火灾扑救等工作。</w:t>
      </w:r>
    </w:p>
    <w:p w14:paraId="5B6D1CFF">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9.指导协调水旱灾害、地震和地质灾害等防治工作，负责自然灾害综合监测预警工作，指导开展自然灾害综合风险评估工作。负责抗震设防管理相关工作。</w:t>
      </w:r>
    </w:p>
    <w:p w14:paraId="0F76E3D5">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10.组织协调全区灾害救助工作，组织指导灾情核查、损失评估、救灾捐赠工作，管理、分配上级划拨及区级救灾款物并监督使用。</w:t>
      </w:r>
    </w:p>
    <w:p w14:paraId="37BC3C92">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11.依法行使全区安全生产综合监督管理职权，指导协调、监督检查区政府有关部门、各街道办事处安全生产工作，组织开展安全生产巡查、考核工作。</w:t>
      </w:r>
    </w:p>
    <w:p w14:paraId="224BD4C2">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12.负责危险化学品安全监督管理综合工作和烟花爆竹安全生产监督管理工作。依法组织并指导监督实施安全生产准入制度</w:t>
      </w:r>
    </w:p>
    <w:p w14:paraId="7148F6D8">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13.依法组织开展全区生产安全事故调查处理，监督事故查处和责任追究落实情况，具体执法交由相关执法队伍承担。组织开展自然灾害类突发事件的调查评估工作。</w:t>
      </w:r>
    </w:p>
    <w:p w14:paraId="1E9F3A19">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14.制定全区应急物资储备和应急救援装备规划并组织实施，负责提出区级救灾物资的储备需求和动用决策，组织编制区级救灾物资品种目录和标准，会同有关部门建立健全应急物资信息平台和应急物资调用机制，在救灾时统一调度，根据需要下达动用指令。</w:t>
      </w:r>
    </w:p>
    <w:p w14:paraId="51E33FDD">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15.负责全区应急管理、安全生产宣传教育和培训工作。</w:t>
      </w:r>
    </w:p>
    <w:p w14:paraId="719527D2">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16.开展应急管理方面的对外交流与合作。</w:t>
      </w:r>
    </w:p>
    <w:p w14:paraId="5E062416">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17.承担重庆市渝中区人民政府安全生产委员会、重庆市渝中区防汛指挥部日常工作。</w:t>
      </w:r>
    </w:p>
    <w:p w14:paraId="3525B4A9">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val="en-US" w:eastAsia="zh-CN"/>
        </w:rPr>
        <w:t>18.</w:t>
      </w:r>
      <w:r>
        <w:rPr>
          <w:rFonts w:hint="default" w:ascii="Times New Roman" w:hAnsi="Times New Roman" w:eastAsia="方正仿宋_GBK" w:cs="Times New Roman"/>
          <w:color w:val="auto"/>
          <w:sz w:val="32"/>
          <w:szCs w:val="32"/>
          <w:shd w:val="clear" w:color="auto" w:fill="FFFFFF"/>
        </w:rPr>
        <w:t>完成区委、区政府交办的其他任务。</w:t>
      </w:r>
    </w:p>
    <w:p w14:paraId="1BF72A46">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楷体" w:cs="Times New Roman"/>
          <w:color w:val="auto"/>
          <w:sz w:val="32"/>
          <w:szCs w:val="32"/>
        </w:rPr>
      </w:pPr>
      <w:r>
        <w:rPr>
          <w:rStyle w:val="10"/>
          <w:rFonts w:hint="default" w:ascii="Times New Roman" w:hAnsi="Times New Roman" w:eastAsia="方正楷体_GBK" w:cs="Times New Roman"/>
          <w:b w:val="0"/>
          <w:bCs/>
          <w:color w:val="auto"/>
          <w:sz w:val="32"/>
          <w:szCs w:val="32"/>
          <w:shd w:val="clear" w:color="auto" w:fill="FFFFFF"/>
        </w:rPr>
        <w:t>（二）机构设置</w:t>
      </w:r>
    </w:p>
    <w:p w14:paraId="2B46EBEA">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渝中区应急管理局设有办公室、安全生产综合协调科（安全生产巡查室）、应急救援协调科（应急指挥中心）、行业监督管理科（行政审批科）、法规宣教科。下设副处级参照公务员法管理事业单位渝中区应急管理综合行政执法支队，正科级事业单位重庆市渝中区应急救援中心。</w:t>
      </w:r>
    </w:p>
    <w:p w14:paraId="706178BB">
      <w:pPr>
        <w:pStyle w:val="6"/>
        <w:keepNext w:val="0"/>
        <w:keepLines w:val="0"/>
        <w:pageBreakBefore w:val="0"/>
        <w:widowControl/>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Style w:val="10"/>
          <w:rFonts w:hint="default" w:ascii="Times New Roman" w:hAnsi="Times New Roman" w:eastAsia="方正黑体_GBK" w:cs="Times New Roman"/>
          <w:b w:val="0"/>
          <w:bCs/>
          <w:color w:val="auto"/>
          <w:sz w:val="32"/>
          <w:szCs w:val="32"/>
          <w:shd w:val="clear" w:color="auto" w:fill="FFFFFF"/>
        </w:rPr>
      </w:pPr>
      <w:r>
        <w:rPr>
          <w:rStyle w:val="10"/>
          <w:rFonts w:hint="default" w:ascii="Times New Roman" w:hAnsi="Times New Roman" w:eastAsia="方正黑体_GBK" w:cs="Times New Roman"/>
          <w:b w:val="0"/>
          <w:bCs/>
          <w:color w:val="auto"/>
          <w:sz w:val="32"/>
          <w:szCs w:val="32"/>
          <w:shd w:val="clear" w:color="auto" w:fill="FFFFFF"/>
        </w:rPr>
        <w:t>二、部门决算收支情况说明</w:t>
      </w:r>
    </w:p>
    <w:p w14:paraId="711DA754">
      <w:pPr>
        <w:pStyle w:val="11"/>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（一）收入支出决算总体情况说明。</w:t>
      </w:r>
    </w:p>
    <w:p w14:paraId="109F75B0">
      <w:pPr>
        <w:pStyle w:val="6"/>
        <w:keepNext w:val="0"/>
        <w:keepLines w:val="0"/>
        <w:pageBreakBefore w:val="0"/>
        <w:widowControl/>
        <w:shd w:val="clear" w:color="auto"/>
        <w:kinsoku/>
        <w:wordWrap/>
        <w:overflowPunct/>
        <w:topLinePunct w:val="0"/>
        <w:autoSpaceDN/>
        <w:bidi w:val="0"/>
        <w:adjustRightInd/>
        <w:spacing w:beforeAutospacing="0" w:afterAutospacing="0" w:line="600" w:lineRule="exact"/>
        <w:ind w:firstLine="643" w:firstLineChars="200"/>
        <w:jc w:val="both"/>
        <w:textAlignment w:val="auto"/>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color w:val="auto"/>
          <w:sz w:val="32"/>
          <w:szCs w:val="32"/>
          <w:shd w:val="clear" w:color="auto" w:fill="FFFFFF"/>
        </w:rPr>
        <w:t>1.总体情况。</w:t>
      </w:r>
      <w:r>
        <w:rPr>
          <w:rFonts w:hint="default" w:ascii="Times New Roman" w:hAnsi="Times New Roman" w:eastAsia="方正仿宋_GBK" w:cs="Times New Roman"/>
          <w:color w:val="auto"/>
          <w:sz w:val="32"/>
          <w:szCs w:val="32"/>
          <w:shd w:val="clear" w:color="auto" w:fill="FFFFFF"/>
        </w:rPr>
        <w:t>2024年度收入总计1986.36万元，支出总计</w:t>
      </w:r>
      <w:r>
        <w:rPr>
          <w:rFonts w:hint="default" w:ascii="Times New Roman" w:hAnsi="Times New Roman" w:eastAsia="方正仿宋_GBK" w:cs="Times New Roman"/>
          <w:color w:val="auto"/>
          <w:sz w:val="32"/>
          <w:szCs w:val="32"/>
        </w:rPr>
        <w:t>1986.36</w:t>
      </w:r>
      <w:r>
        <w:rPr>
          <w:rFonts w:hint="default" w:ascii="Times New Roman" w:hAnsi="Times New Roman" w:eastAsia="方正仿宋_GBK" w:cs="Times New Roman"/>
          <w:color w:val="auto"/>
          <w:sz w:val="32"/>
          <w:szCs w:val="32"/>
          <w:shd w:val="clear" w:color="auto" w:fill="FFFFFF"/>
        </w:rPr>
        <w:t>万元。收、支与2023年度相比，增加76.72万元，增长4.0%，主要原因是人员经费正常增长。</w:t>
      </w:r>
    </w:p>
    <w:p w14:paraId="06A76365">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10"/>
          <w:rFonts w:hint="default" w:ascii="Times New Roman" w:hAnsi="Times New Roman" w:eastAsia="方正仿宋_GBK" w:cs="Times New Roman"/>
          <w:color w:val="auto"/>
          <w:sz w:val="32"/>
          <w:szCs w:val="32"/>
          <w:shd w:val="clear" w:color="auto" w:fill="FFFFFF"/>
        </w:rPr>
        <w:t>2.收入情况。</w:t>
      </w:r>
      <w:r>
        <w:rPr>
          <w:rFonts w:hint="default" w:ascii="Times New Roman" w:hAnsi="Times New Roman" w:eastAsia="方正仿宋_GBK" w:cs="Times New Roman"/>
          <w:color w:val="auto"/>
          <w:sz w:val="32"/>
          <w:szCs w:val="32"/>
          <w:shd w:val="clear" w:color="auto" w:fill="FFFFFF"/>
        </w:rPr>
        <w:t>2024年度收入合计1977.53万元，与2023年度相比，增加</w:t>
      </w:r>
      <w:r>
        <w:rPr>
          <w:rFonts w:hint="eastAsia" w:ascii="Times New Roman" w:hAnsi="Times New Roman" w:eastAsia="方正仿宋_GBK" w:cs="Times New Roman"/>
          <w:color w:val="auto"/>
          <w:sz w:val="32"/>
          <w:szCs w:val="32"/>
          <w:shd w:val="clear" w:color="auto" w:fill="FFFFFF"/>
          <w:lang w:val="en-US" w:eastAsia="zh-CN"/>
        </w:rPr>
        <w:t>67.89</w:t>
      </w:r>
      <w:r>
        <w:rPr>
          <w:rFonts w:hint="default" w:ascii="Times New Roman" w:hAnsi="Times New Roman" w:eastAsia="方正仿宋_GBK" w:cs="Times New Roman"/>
          <w:color w:val="auto"/>
          <w:sz w:val="32"/>
          <w:szCs w:val="32"/>
          <w:shd w:val="clear" w:color="auto" w:fill="FFFFFF"/>
        </w:rPr>
        <w:t>万元，增长</w:t>
      </w:r>
      <w:r>
        <w:rPr>
          <w:rFonts w:hint="eastAsia" w:ascii="Times New Roman" w:hAnsi="Times New Roman" w:eastAsia="方正仿宋_GBK" w:cs="Times New Roman"/>
          <w:color w:val="auto"/>
          <w:sz w:val="32"/>
          <w:szCs w:val="32"/>
          <w:shd w:val="clear" w:color="auto" w:fill="FFFFFF"/>
          <w:lang w:val="en-US" w:eastAsia="zh-CN"/>
        </w:rPr>
        <w:t>3.56</w:t>
      </w:r>
      <w:r>
        <w:rPr>
          <w:rFonts w:hint="default" w:ascii="Times New Roman" w:hAnsi="Times New Roman" w:eastAsia="方正仿宋_GBK" w:cs="Times New Roman"/>
          <w:color w:val="auto"/>
          <w:sz w:val="32"/>
          <w:szCs w:val="32"/>
          <w:shd w:val="clear" w:color="auto" w:fill="FFFFFF"/>
        </w:rPr>
        <w:t>%，主要原因是人员经费正常增长。其中：财政拨款收入</w:t>
      </w:r>
      <w:r>
        <w:rPr>
          <w:rFonts w:hint="default" w:ascii="Times New Roman" w:hAnsi="Times New Roman" w:eastAsia="方正仿宋_GBK" w:cs="Times New Roman"/>
          <w:color w:val="auto"/>
          <w:sz w:val="32"/>
          <w:szCs w:val="32"/>
        </w:rPr>
        <w:t>1977.53</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eastAsia="zh-CN"/>
        </w:rPr>
        <w:t>100.0%</w:t>
      </w:r>
      <w:r>
        <w:rPr>
          <w:rFonts w:hint="default" w:ascii="Times New Roman" w:hAnsi="Times New Roman" w:eastAsia="方正仿宋_GBK" w:cs="Times New Roman"/>
          <w:color w:val="auto"/>
          <w:sz w:val="32"/>
          <w:szCs w:val="32"/>
          <w:shd w:val="clear" w:color="auto" w:fill="FFFFFF"/>
        </w:rPr>
        <w:t>；事业收入</w:t>
      </w:r>
      <w:r>
        <w:rPr>
          <w:rFonts w:hint="eastAsia" w:ascii="Times New Roman" w:hAnsi="Times New Roman" w:eastAsia="方正仿宋_GBK" w:cs="Times New Roman"/>
          <w:color w:val="auto"/>
          <w:sz w:val="32"/>
          <w:szCs w:val="32"/>
          <w:lang w:eastAsia="zh-CN"/>
        </w:rPr>
        <w:t>0万元</w:t>
      </w:r>
      <w:r>
        <w:rPr>
          <w:rFonts w:hint="default" w:ascii="Times New Roman" w:hAnsi="Times New Roman" w:eastAsia="方正仿宋_GBK" w:cs="Times New Roman"/>
          <w:color w:val="auto"/>
          <w:sz w:val="32"/>
          <w:szCs w:val="32"/>
          <w:shd w:val="clear" w:color="auto" w:fill="FFFFFF"/>
        </w:rPr>
        <w:t>，占</w:t>
      </w:r>
      <w:r>
        <w:rPr>
          <w:rFonts w:hint="eastAsia" w:ascii="Times New Roman" w:hAnsi="Times New Roman" w:eastAsia="方正仿宋_GBK" w:cs="Times New Roman"/>
          <w:color w:val="auto"/>
          <w:sz w:val="32"/>
          <w:szCs w:val="32"/>
          <w:shd w:val="clear" w:color="auto" w:fill="FFFFFF"/>
          <w:lang w:eastAsia="zh-CN"/>
        </w:rPr>
        <w:t>0.0%</w:t>
      </w:r>
      <w:r>
        <w:rPr>
          <w:rFonts w:hint="default" w:ascii="Times New Roman" w:hAnsi="Times New Roman" w:eastAsia="方正仿宋_GBK" w:cs="Times New Roman"/>
          <w:color w:val="auto"/>
          <w:sz w:val="32"/>
          <w:szCs w:val="32"/>
          <w:shd w:val="clear" w:color="auto" w:fill="FFFFFF"/>
        </w:rPr>
        <w:t>；经营收入</w:t>
      </w:r>
      <w:r>
        <w:rPr>
          <w:rFonts w:hint="eastAsia" w:ascii="Times New Roman" w:hAnsi="Times New Roman" w:eastAsia="方正仿宋_GBK" w:cs="Times New Roman"/>
          <w:color w:val="auto"/>
          <w:sz w:val="32"/>
          <w:szCs w:val="32"/>
          <w:lang w:eastAsia="zh-CN"/>
        </w:rPr>
        <w:t>0万元</w:t>
      </w:r>
      <w:r>
        <w:rPr>
          <w:rFonts w:hint="default" w:ascii="Times New Roman" w:hAnsi="Times New Roman" w:eastAsia="方正仿宋_GBK" w:cs="Times New Roman"/>
          <w:color w:val="auto"/>
          <w:sz w:val="32"/>
          <w:szCs w:val="32"/>
          <w:shd w:val="clear" w:color="auto" w:fill="FFFFFF"/>
        </w:rPr>
        <w:t>，占</w:t>
      </w:r>
      <w:r>
        <w:rPr>
          <w:rFonts w:hint="eastAsia" w:ascii="Times New Roman" w:hAnsi="Times New Roman" w:eastAsia="方正仿宋_GBK" w:cs="Times New Roman"/>
          <w:color w:val="auto"/>
          <w:sz w:val="32"/>
          <w:szCs w:val="32"/>
          <w:shd w:val="clear" w:color="auto" w:fill="FFFFFF"/>
          <w:lang w:eastAsia="zh-CN"/>
        </w:rPr>
        <w:t>0.0%</w:t>
      </w:r>
      <w:r>
        <w:rPr>
          <w:rFonts w:hint="default" w:ascii="Times New Roman" w:hAnsi="Times New Roman" w:eastAsia="方正仿宋_GBK" w:cs="Times New Roman"/>
          <w:color w:val="auto"/>
          <w:sz w:val="32"/>
          <w:szCs w:val="32"/>
          <w:shd w:val="clear" w:color="auto" w:fill="FFFFFF"/>
        </w:rPr>
        <w:t>；其他收入</w:t>
      </w:r>
      <w:r>
        <w:rPr>
          <w:rFonts w:hint="eastAsia" w:ascii="Times New Roman" w:hAnsi="Times New Roman" w:eastAsia="方正仿宋_GBK" w:cs="Times New Roman"/>
          <w:color w:val="auto"/>
          <w:sz w:val="32"/>
          <w:szCs w:val="32"/>
          <w:lang w:eastAsia="zh-CN"/>
        </w:rPr>
        <w:t>0万元</w:t>
      </w:r>
      <w:r>
        <w:rPr>
          <w:rFonts w:hint="default" w:ascii="Times New Roman" w:hAnsi="Times New Roman" w:eastAsia="方正仿宋_GBK" w:cs="Times New Roman"/>
          <w:color w:val="auto"/>
          <w:sz w:val="32"/>
          <w:szCs w:val="32"/>
          <w:shd w:val="clear" w:color="auto" w:fill="FFFFFF"/>
        </w:rPr>
        <w:t>，占</w:t>
      </w:r>
      <w:r>
        <w:rPr>
          <w:rFonts w:hint="eastAsia" w:ascii="Times New Roman" w:hAnsi="Times New Roman" w:eastAsia="方正仿宋_GBK" w:cs="Times New Roman"/>
          <w:color w:val="auto"/>
          <w:sz w:val="32"/>
          <w:szCs w:val="32"/>
          <w:shd w:val="clear" w:color="auto" w:fill="FFFFFF"/>
          <w:lang w:eastAsia="zh-CN"/>
        </w:rPr>
        <w:t>0.0%</w:t>
      </w:r>
      <w:r>
        <w:rPr>
          <w:rFonts w:hint="default" w:ascii="Times New Roman" w:hAnsi="Times New Roman" w:eastAsia="方正仿宋_GBK" w:cs="Times New Roman"/>
          <w:color w:val="auto"/>
          <w:sz w:val="32"/>
          <w:szCs w:val="32"/>
          <w:shd w:val="clear" w:color="auto" w:fill="FFFFFF"/>
        </w:rPr>
        <w:t>。此外，使用非财政拨款结余和专用结余</w:t>
      </w:r>
      <w:r>
        <w:rPr>
          <w:rFonts w:hint="eastAsia" w:ascii="Times New Roman" w:hAnsi="Times New Roman" w:eastAsia="方正仿宋_GBK" w:cs="Times New Roman"/>
          <w:color w:val="auto"/>
          <w:sz w:val="32"/>
          <w:szCs w:val="32"/>
          <w:lang w:eastAsia="zh-CN"/>
        </w:rPr>
        <w:t>0万元</w:t>
      </w:r>
      <w:r>
        <w:rPr>
          <w:rFonts w:hint="default" w:ascii="Times New Roman" w:hAnsi="Times New Roman" w:eastAsia="方正仿宋_GBK" w:cs="Times New Roman"/>
          <w:color w:val="auto"/>
          <w:sz w:val="32"/>
          <w:szCs w:val="32"/>
          <w:shd w:val="clear" w:color="auto" w:fill="FFFFFF"/>
        </w:rPr>
        <w:t>，年初结转和结余</w:t>
      </w:r>
      <w:r>
        <w:rPr>
          <w:rFonts w:hint="default" w:ascii="Times New Roman" w:hAnsi="Times New Roman" w:eastAsia="方正仿宋_GBK" w:cs="Times New Roman"/>
          <w:color w:val="auto"/>
          <w:sz w:val="32"/>
          <w:szCs w:val="32"/>
        </w:rPr>
        <w:t>8.83</w:t>
      </w:r>
      <w:r>
        <w:rPr>
          <w:rFonts w:hint="default" w:ascii="Times New Roman" w:hAnsi="Times New Roman" w:eastAsia="方正仿宋_GBK" w:cs="Times New Roman"/>
          <w:color w:val="auto"/>
          <w:sz w:val="32"/>
          <w:szCs w:val="32"/>
          <w:shd w:val="clear" w:color="auto" w:fill="FFFFFF"/>
        </w:rPr>
        <w:t>万元。</w:t>
      </w:r>
    </w:p>
    <w:p w14:paraId="5C2B29FA">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10"/>
          <w:rFonts w:hint="default" w:ascii="Times New Roman" w:hAnsi="Times New Roman" w:eastAsia="方正仿宋_GBK" w:cs="Times New Roman"/>
          <w:color w:val="auto"/>
          <w:sz w:val="32"/>
          <w:szCs w:val="32"/>
          <w:shd w:val="clear" w:color="auto" w:fill="FFFFFF"/>
        </w:rPr>
        <w:t>3.支出情况。</w:t>
      </w:r>
      <w:r>
        <w:rPr>
          <w:rFonts w:hint="default" w:ascii="Times New Roman" w:hAnsi="Times New Roman" w:eastAsia="方正仿宋_GBK" w:cs="Times New Roman"/>
          <w:color w:val="auto"/>
          <w:sz w:val="32"/>
          <w:szCs w:val="32"/>
          <w:shd w:val="clear" w:color="auto" w:fill="FFFFFF"/>
        </w:rPr>
        <w:t>2024年度支出合计</w:t>
      </w:r>
      <w:r>
        <w:rPr>
          <w:rFonts w:hint="default" w:ascii="Times New Roman" w:hAnsi="Times New Roman" w:eastAsia="方正仿宋_GBK" w:cs="Times New Roman"/>
          <w:color w:val="auto"/>
          <w:sz w:val="32"/>
          <w:szCs w:val="32"/>
        </w:rPr>
        <w:t>1986.36</w:t>
      </w:r>
      <w:r>
        <w:rPr>
          <w:rFonts w:hint="default" w:ascii="Times New Roman" w:hAnsi="Times New Roman" w:eastAsia="方正仿宋_GBK" w:cs="Times New Roman"/>
          <w:color w:val="auto"/>
          <w:sz w:val="32"/>
          <w:szCs w:val="32"/>
          <w:shd w:val="clear" w:color="auto" w:fill="FFFFFF"/>
        </w:rPr>
        <w:t>万元，与2023年度相比，增加76.72万元，增长4.0%，主要原因是人员经费正常增长。其中：基本支出</w:t>
      </w:r>
      <w:r>
        <w:rPr>
          <w:rFonts w:hint="default" w:ascii="Times New Roman" w:hAnsi="Times New Roman" w:eastAsia="方正仿宋_GBK" w:cs="Times New Roman"/>
          <w:color w:val="auto"/>
          <w:sz w:val="32"/>
          <w:szCs w:val="32"/>
        </w:rPr>
        <w:t>877.51</w:t>
      </w:r>
      <w:r>
        <w:rPr>
          <w:rFonts w:hint="default" w:ascii="Times New Roman" w:hAnsi="Times New Roman" w:eastAsia="方正仿宋_GBK" w:cs="Times New Roman"/>
          <w:color w:val="auto"/>
          <w:sz w:val="32"/>
          <w:szCs w:val="32"/>
          <w:shd w:val="clear" w:color="auto" w:fill="FFFFFF"/>
        </w:rPr>
        <w:t>万元，占44.18%；项目支出</w:t>
      </w:r>
      <w:r>
        <w:rPr>
          <w:rFonts w:hint="default" w:ascii="Times New Roman" w:hAnsi="Times New Roman" w:eastAsia="方正仿宋_GBK" w:cs="Times New Roman"/>
          <w:color w:val="auto"/>
          <w:sz w:val="32"/>
          <w:szCs w:val="32"/>
        </w:rPr>
        <w:t>1108.85</w:t>
      </w:r>
      <w:r>
        <w:rPr>
          <w:rFonts w:hint="default" w:ascii="Times New Roman" w:hAnsi="Times New Roman" w:eastAsia="方正仿宋_GBK" w:cs="Times New Roman"/>
          <w:color w:val="auto"/>
          <w:sz w:val="32"/>
          <w:szCs w:val="32"/>
          <w:shd w:val="clear" w:color="auto" w:fill="FFFFFF"/>
        </w:rPr>
        <w:t>万元，占55.82%；经营支出</w:t>
      </w:r>
      <w:r>
        <w:rPr>
          <w:rFonts w:hint="eastAsia" w:ascii="Times New Roman" w:hAnsi="Times New Roman" w:eastAsia="方正仿宋_GBK" w:cs="Times New Roman"/>
          <w:color w:val="auto"/>
          <w:sz w:val="32"/>
          <w:szCs w:val="32"/>
          <w:lang w:eastAsia="zh-CN"/>
        </w:rPr>
        <w:t>0万元</w:t>
      </w:r>
      <w:r>
        <w:rPr>
          <w:rFonts w:hint="default" w:ascii="Times New Roman" w:hAnsi="Times New Roman" w:eastAsia="方正仿宋_GBK" w:cs="Times New Roman"/>
          <w:color w:val="auto"/>
          <w:sz w:val="32"/>
          <w:szCs w:val="32"/>
          <w:shd w:val="clear" w:color="auto" w:fill="FFFFFF"/>
        </w:rPr>
        <w:t>，占</w:t>
      </w:r>
      <w:r>
        <w:rPr>
          <w:rFonts w:hint="eastAsia" w:ascii="Times New Roman" w:hAnsi="Times New Roman" w:eastAsia="方正仿宋_GBK" w:cs="Times New Roman"/>
          <w:color w:val="auto"/>
          <w:sz w:val="32"/>
          <w:szCs w:val="32"/>
          <w:shd w:val="clear" w:color="auto" w:fill="FFFFFF"/>
          <w:lang w:eastAsia="zh-CN"/>
        </w:rPr>
        <w:t>0.0%</w:t>
      </w:r>
      <w:r>
        <w:rPr>
          <w:rFonts w:hint="default" w:ascii="Times New Roman" w:hAnsi="Times New Roman" w:eastAsia="方正仿宋_GBK" w:cs="Times New Roman"/>
          <w:color w:val="auto"/>
          <w:sz w:val="32"/>
          <w:szCs w:val="32"/>
          <w:shd w:val="clear" w:color="auto" w:fill="FFFFFF"/>
        </w:rPr>
        <w:t>。此外，结余分配</w:t>
      </w:r>
      <w:r>
        <w:rPr>
          <w:rFonts w:hint="eastAsia" w:ascii="Times New Roman" w:hAnsi="Times New Roman" w:eastAsia="方正仿宋_GBK" w:cs="Times New Roman"/>
          <w:color w:val="auto"/>
          <w:sz w:val="32"/>
          <w:szCs w:val="32"/>
          <w:lang w:eastAsia="zh-CN"/>
        </w:rPr>
        <w:t>0万元</w:t>
      </w:r>
      <w:r>
        <w:rPr>
          <w:rFonts w:hint="default" w:ascii="Times New Roman" w:hAnsi="Times New Roman" w:eastAsia="方正仿宋_GBK" w:cs="Times New Roman"/>
          <w:color w:val="auto"/>
          <w:sz w:val="32"/>
          <w:szCs w:val="32"/>
          <w:shd w:val="clear" w:color="auto" w:fill="FFFFFF"/>
        </w:rPr>
        <w:t>。</w:t>
      </w:r>
    </w:p>
    <w:p w14:paraId="6D2D7F54">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eastAsia" w:ascii="Times New Roman" w:hAnsi="Times New Roman" w:eastAsia="方正仿宋_GBK" w:cs="Times New Roman"/>
          <w:color w:val="auto"/>
          <w:sz w:val="32"/>
          <w:szCs w:val="32"/>
          <w:lang w:eastAsia="zh-CN"/>
        </w:rPr>
      </w:pPr>
      <w:r>
        <w:rPr>
          <w:rStyle w:val="10"/>
          <w:rFonts w:hint="default" w:ascii="Times New Roman" w:hAnsi="Times New Roman" w:eastAsia="方正仿宋_GBK" w:cs="Times New Roman"/>
          <w:color w:val="auto"/>
          <w:sz w:val="32"/>
          <w:szCs w:val="32"/>
          <w:shd w:val="clear" w:color="auto" w:fill="FFFFFF"/>
        </w:rPr>
        <w:t>4.结转结余情况。</w:t>
      </w:r>
      <w:r>
        <w:rPr>
          <w:rFonts w:hint="default" w:ascii="Times New Roman" w:hAnsi="Times New Roman" w:eastAsia="方正仿宋_GBK" w:cs="Times New Roman"/>
          <w:color w:val="auto"/>
          <w:sz w:val="32"/>
          <w:szCs w:val="32"/>
          <w:shd w:val="clear" w:color="auto" w:fill="FFFFFF"/>
        </w:rPr>
        <w:t>2024年度年末结转和结余</w:t>
      </w:r>
      <w:r>
        <w:rPr>
          <w:rFonts w:hint="eastAsia" w:ascii="Times New Roman" w:hAnsi="Times New Roman" w:eastAsia="方正仿宋_GBK" w:cs="Times New Roman"/>
          <w:color w:val="auto"/>
          <w:sz w:val="32"/>
          <w:szCs w:val="32"/>
          <w:lang w:eastAsia="zh-CN"/>
        </w:rPr>
        <w:t>0万元</w:t>
      </w: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eastAsia="zh-CN"/>
        </w:rPr>
        <w:t>与2023年度相比持平。</w:t>
      </w:r>
    </w:p>
    <w:p w14:paraId="731497C3">
      <w:pPr>
        <w:pStyle w:val="11"/>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（二）财政拨款收入支出决算总体情况说明</w:t>
      </w:r>
    </w:p>
    <w:p w14:paraId="6D485699">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2024年度财政拨款收、支总计1986.36万元。与2023年相比，增加76.72万元，增长4.0%，主要原因是人员经费正常增长。</w:t>
      </w:r>
    </w:p>
    <w:p w14:paraId="790F9C3A">
      <w:pPr>
        <w:pStyle w:val="11"/>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（三）一般公共预算财政拨款收入支出决算情况说明</w:t>
      </w:r>
    </w:p>
    <w:p w14:paraId="32262670">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rPr>
        <w:t>2024年度一般公共预算财政拨款收入</w:t>
      </w:r>
      <w:r>
        <w:rPr>
          <w:rFonts w:hint="default" w:ascii="Times New Roman" w:hAnsi="Times New Roman" w:eastAsia="方正仿宋_GBK" w:cs="Times New Roman"/>
          <w:color w:val="auto"/>
          <w:sz w:val="32"/>
          <w:szCs w:val="32"/>
        </w:rPr>
        <w:t>1977.53</w:t>
      </w:r>
      <w:r>
        <w:rPr>
          <w:rFonts w:hint="default" w:ascii="Times New Roman" w:hAnsi="Times New Roman" w:eastAsia="方正仿宋_GBK" w:cs="Times New Roman"/>
          <w:color w:val="auto"/>
          <w:sz w:val="32"/>
          <w:szCs w:val="32"/>
          <w:shd w:val="clear" w:color="auto" w:fill="FFFFFF"/>
        </w:rPr>
        <w:t>万元，与2023年度相比，增加68.66万元，增长3.6%。主要原因是人员经费正常增长。较年初预算数减少1453.04万元，下降42.4%。主要原因是</w:t>
      </w:r>
      <w:r>
        <w:rPr>
          <w:rFonts w:hint="eastAsia" w:ascii="Times New Roman" w:hAnsi="Times New Roman" w:eastAsia="方正仿宋_GBK" w:cs="Times New Roman"/>
          <w:color w:val="auto"/>
          <w:sz w:val="32"/>
          <w:szCs w:val="32"/>
          <w:shd w:val="clear" w:color="auto" w:fill="FFFFFF"/>
          <w:lang w:val="en-US" w:eastAsia="zh-CN"/>
        </w:rPr>
        <w:t>2024年渝中区防灾减灾救灾形势较平稳，中央及市级救灾资金支出减少；持续</w:t>
      </w:r>
      <w:r>
        <w:rPr>
          <w:rFonts w:hint="default" w:ascii="Times New Roman" w:hAnsi="Times New Roman" w:eastAsia="方正仿宋_GBK" w:cs="Times New Roman"/>
          <w:b w:val="0"/>
          <w:bCs w:val="0"/>
          <w:color w:val="auto"/>
          <w:sz w:val="32"/>
          <w:szCs w:val="32"/>
          <w:shd w:val="clear" w:color="auto" w:fill="auto"/>
          <w:lang w:val="en-US" w:eastAsia="zh-CN"/>
        </w:rPr>
        <w:t>贯彻落实党政机关过紧日子要求</w:t>
      </w:r>
      <w:r>
        <w:rPr>
          <w:rFonts w:hint="eastAsia" w:ascii="Times New Roman" w:hAnsi="Times New Roman" w:eastAsia="方正仿宋_GBK" w:cs="Times New Roman"/>
          <w:b w:val="0"/>
          <w:bCs w:val="0"/>
          <w:color w:val="auto"/>
          <w:sz w:val="32"/>
          <w:szCs w:val="32"/>
          <w:shd w:val="clear" w:color="auto" w:fill="auto"/>
          <w:lang w:val="en-US" w:eastAsia="zh-CN"/>
        </w:rPr>
        <w:t>，坚持厉行节约</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此外，年初财政拨款结转和结余</w:t>
      </w:r>
      <w:r>
        <w:rPr>
          <w:rFonts w:hint="default" w:ascii="Times New Roman" w:hAnsi="Times New Roman" w:eastAsia="方正仿宋_GBK" w:cs="Times New Roman"/>
          <w:color w:val="auto"/>
          <w:sz w:val="32"/>
          <w:szCs w:val="32"/>
        </w:rPr>
        <w:t>8.83</w:t>
      </w:r>
      <w:r>
        <w:rPr>
          <w:rFonts w:hint="default" w:ascii="Times New Roman" w:hAnsi="Times New Roman" w:eastAsia="方正仿宋_GBK" w:cs="Times New Roman"/>
          <w:color w:val="auto"/>
          <w:sz w:val="32"/>
          <w:szCs w:val="32"/>
          <w:shd w:val="clear" w:color="auto" w:fill="FFFFFF"/>
        </w:rPr>
        <w:t>万元。</w:t>
      </w:r>
    </w:p>
    <w:p w14:paraId="387D3437">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rPr>
        <w:t>2024年度一般公共预算财政拨款支出</w:t>
      </w:r>
      <w:r>
        <w:rPr>
          <w:rFonts w:hint="default" w:ascii="Times New Roman" w:hAnsi="Times New Roman" w:eastAsia="方正仿宋_GBK" w:cs="Times New Roman"/>
          <w:color w:val="auto"/>
          <w:sz w:val="32"/>
          <w:szCs w:val="32"/>
        </w:rPr>
        <w:t>1986.36</w:t>
      </w:r>
      <w:r>
        <w:rPr>
          <w:rFonts w:hint="default" w:ascii="Times New Roman" w:hAnsi="Times New Roman" w:eastAsia="方正仿宋_GBK" w:cs="Times New Roman"/>
          <w:color w:val="auto"/>
          <w:sz w:val="32"/>
          <w:szCs w:val="32"/>
          <w:shd w:val="clear" w:color="auto" w:fill="FFFFFF"/>
        </w:rPr>
        <w:t>万元，与2023年度相比，增加76.72万元，增长4.0%。主要原因是人员经费正常增长。较年初预算数减少1444.21万元，下降42.1%。主要原因是</w:t>
      </w:r>
      <w:r>
        <w:rPr>
          <w:rFonts w:hint="eastAsia" w:ascii="Times New Roman" w:hAnsi="Times New Roman" w:eastAsia="方正仿宋_GBK" w:cs="Times New Roman"/>
          <w:color w:val="auto"/>
          <w:sz w:val="32"/>
          <w:szCs w:val="32"/>
          <w:shd w:val="clear" w:color="auto" w:fill="FFFFFF"/>
          <w:lang w:val="en-US" w:eastAsia="zh-CN"/>
        </w:rPr>
        <w:t>2024年渝中区防灾减灾救灾形势较平稳，中央及市级救灾资金支出减少；持续</w:t>
      </w:r>
      <w:r>
        <w:rPr>
          <w:rFonts w:hint="default" w:ascii="Times New Roman" w:hAnsi="Times New Roman" w:eastAsia="方正仿宋_GBK" w:cs="Times New Roman"/>
          <w:b w:val="0"/>
          <w:bCs w:val="0"/>
          <w:color w:val="auto"/>
          <w:sz w:val="32"/>
          <w:szCs w:val="32"/>
          <w:shd w:val="clear" w:color="auto" w:fill="auto"/>
          <w:lang w:val="en-US" w:eastAsia="zh-CN"/>
        </w:rPr>
        <w:t>贯彻落实党政机关过紧日子要求</w:t>
      </w:r>
      <w:r>
        <w:rPr>
          <w:rFonts w:hint="eastAsia" w:ascii="Times New Roman" w:hAnsi="Times New Roman" w:eastAsia="方正仿宋_GBK" w:cs="Times New Roman"/>
          <w:b w:val="0"/>
          <w:bCs w:val="0"/>
          <w:color w:val="auto"/>
          <w:sz w:val="32"/>
          <w:szCs w:val="32"/>
          <w:shd w:val="clear" w:color="auto" w:fill="auto"/>
          <w:lang w:val="en-US" w:eastAsia="zh-CN"/>
        </w:rPr>
        <w:t>，坚持厉行节约</w:t>
      </w:r>
      <w:r>
        <w:rPr>
          <w:rFonts w:hint="default" w:ascii="Times New Roman" w:hAnsi="Times New Roman" w:eastAsia="方正仿宋_GBK" w:cs="Times New Roman"/>
          <w:b w:val="0"/>
          <w:bCs w:val="0"/>
          <w:color w:val="auto"/>
          <w:sz w:val="32"/>
          <w:szCs w:val="32"/>
          <w:shd w:val="clear" w:color="auto" w:fill="FFFFFF"/>
        </w:rPr>
        <w:t>。</w:t>
      </w:r>
    </w:p>
    <w:p w14:paraId="332BFDDB">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eastAsia" w:ascii="Times New Roman" w:hAnsi="Times New Roman" w:eastAsia="方正仿宋_GBK" w:cs="Times New Roman"/>
          <w:color w:val="auto"/>
          <w:sz w:val="32"/>
          <w:szCs w:val="32"/>
          <w:lang w:eastAsia="zh-CN"/>
        </w:rPr>
      </w:pPr>
      <w:r>
        <w:rPr>
          <w:rStyle w:val="10"/>
          <w:rFonts w:hint="default" w:ascii="Times New Roman" w:hAnsi="Times New Roman" w:eastAsia="方正仿宋_GBK" w:cs="Times New Roman"/>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rPr>
        <w:t>2024年度年末一般公共预算财政拨款结转和结余</w:t>
      </w:r>
      <w:r>
        <w:rPr>
          <w:rFonts w:hint="eastAsia" w:ascii="Times New Roman" w:hAnsi="Times New Roman" w:eastAsia="方正仿宋_GBK" w:cs="Times New Roman"/>
          <w:color w:val="auto"/>
          <w:sz w:val="32"/>
          <w:szCs w:val="32"/>
          <w:lang w:eastAsia="zh-CN"/>
        </w:rPr>
        <w:t>0万元</w:t>
      </w: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eastAsia="zh-CN"/>
        </w:rPr>
        <w:t>与2023年度相比持平。</w:t>
      </w:r>
    </w:p>
    <w:p w14:paraId="6AE5A727">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highlight w:val="cyan"/>
          <w:shd w:val="clear" w:color="auto" w:fill="FFFFFF"/>
        </w:rPr>
      </w:pPr>
      <w:r>
        <w:rPr>
          <w:rStyle w:val="10"/>
          <w:rFonts w:hint="default" w:ascii="Times New Roman" w:hAnsi="Times New Roman" w:eastAsia="方正仿宋_GBK" w:cs="Times New Roman"/>
          <w:color w:val="auto"/>
          <w:sz w:val="32"/>
          <w:szCs w:val="32"/>
          <w:shd w:val="clear" w:color="auto" w:fill="FFFFFF"/>
        </w:rPr>
        <w:t>4.比较情况。</w:t>
      </w:r>
      <w:r>
        <w:rPr>
          <w:rFonts w:hint="default" w:ascii="Times New Roman" w:hAnsi="Times New Roman" w:eastAsia="方正仿宋_GBK" w:cs="Times New Roman"/>
          <w:color w:val="auto"/>
          <w:sz w:val="32"/>
          <w:szCs w:val="32"/>
          <w:shd w:val="clear" w:color="auto" w:fill="FFFFFF"/>
        </w:rPr>
        <w:t>本部门2024年度一般公共预算财政拨款支出主要用于以下几个方面：</w:t>
      </w:r>
    </w:p>
    <w:p w14:paraId="30DBD6E5">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（1）一般公共服务支出</w:t>
      </w:r>
      <w:r>
        <w:rPr>
          <w:rFonts w:hint="default" w:ascii="Times New Roman" w:hAnsi="Times New Roman" w:eastAsia="方正仿宋_GBK" w:cs="Times New Roman"/>
          <w:color w:val="auto"/>
          <w:sz w:val="32"/>
          <w:szCs w:val="32"/>
        </w:rPr>
        <w:t>0.33</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0.02</w:t>
      </w:r>
      <w:r>
        <w:rPr>
          <w:rFonts w:hint="default" w:ascii="Times New Roman" w:hAnsi="Times New Roman" w:eastAsia="方正仿宋_GBK" w:cs="Times New Roman"/>
          <w:color w:val="auto"/>
          <w:sz w:val="32"/>
          <w:szCs w:val="32"/>
          <w:shd w:val="clear" w:color="auto" w:fill="FFFFFF"/>
        </w:rPr>
        <w:t>%，较年初预算数增加0.33万元，增长100.0%，主要原因是</w:t>
      </w:r>
      <w:r>
        <w:rPr>
          <w:rFonts w:hint="default" w:ascii="Times New Roman" w:hAnsi="Times New Roman" w:eastAsia="方正仿宋_GBK" w:cs="Times New Roman"/>
          <w:b w:val="0"/>
          <w:bCs w:val="0"/>
          <w:color w:val="auto"/>
          <w:sz w:val="32"/>
          <w:szCs w:val="32"/>
          <w:shd w:val="clear" w:color="auto" w:fill="FFFFFF"/>
        </w:rPr>
        <w:t>根据工作需要发生党建工作开支。</w:t>
      </w:r>
    </w:p>
    <w:p w14:paraId="760F074C">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（2）国防支出</w:t>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0.05</w:t>
      </w:r>
      <w:r>
        <w:rPr>
          <w:rFonts w:hint="default" w:ascii="Times New Roman" w:hAnsi="Times New Roman" w:eastAsia="方正仿宋_GBK" w:cs="Times New Roman"/>
          <w:color w:val="auto"/>
          <w:sz w:val="32"/>
          <w:szCs w:val="32"/>
          <w:shd w:val="clear" w:color="auto" w:fill="FFFFFF"/>
        </w:rPr>
        <w:t>%，较年初预算数增加1万元，增长100.0%，主要原因是根据工作需要发生</w:t>
      </w:r>
      <w:r>
        <w:rPr>
          <w:rFonts w:hint="default" w:ascii="Times New Roman" w:hAnsi="Times New Roman" w:eastAsia="方正仿宋_GBK" w:cs="Times New Roman"/>
          <w:color w:val="auto"/>
          <w:sz w:val="32"/>
          <w:szCs w:val="32"/>
          <w:shd w:val="clear" w:color="auto" w:fill="FFFFFF"/>
          <w:lang w:val="en-US" w:eastAsia="zh-CN"/>
        </w:rPr>
        <w:t>民兵</w:t>
      </w:r>
      <w:r>
        <w:rPr>
          <w:rFonts w:hint="default" w:ascii="Times New Roman" w:hAnsi="Times New Roman" w:eastAsia="方正仿宋_GBK" w:cs="Times New Roman"/>
          <w:color w:val="auto"/>
          <w:sz w:val="32"/>
          <w:szCs w:val="32"/>
          <w:shd w:val="clear" w:color="auto" w:fill="FFFFFF"/>
        </w:rPr>
        <w:t>工作开支。</w:t>
      </w:r>
    </w:p>
    <w:p w14:paraId="67324620">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）社会保障与就业支出</w:t>
      </w:r>
      <w:r>
        <w:rPr>
          <w:rFonts w:hint="default" w:ascii="Times New Roman" w:hAnsi="Times New Roman" w:eastAsia="方正仿宋_GBK" w:cs="Times New Roman"/>
          <w:color w:val="auto"/>
          <w:sz w:val="32"/>
          <w:szCs w:val="32"/>
        </w:rPr>
        <w:t>112.98</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5.69</w:t>
      </w:r>
      <w:r>
        <w:rPr>
          <w:rFonts w:hint="default" w:ascii="Times New Roman" w:hAnsi="Times New Roman" w:eastAsia="方正仿宋_GBK" w:cs="Times New Roman"/>
          <w:color w:val="auto"/>
          <w:sz w:val="32"/>
          <w:szCs w:val="32"/>
          <w:shd w:val="clear" w:color="auto" w:fill="FFFFFF"/>
        </w:rPr>
        <w:t>%，较年初预算数增加4.7万元，增长4.3%，主要原因是</w:t>
      </w:r>
      <w:r>
        <w:rPr>
          <w:rFonts w:hint="eastAsia" w:ascii="Times New Roman" w:hAnsi="Times New Roman" w:eastAsia="方正仿宋_GBK" w:cs="Times New Roman"/>
          <w:color w:val="auto"/>
          <w:sz w:val="32"/>
          <w:szCs w:val="32"/>
          <w:shd w:val="clear" w:color="auto" w:fill="FFFFFF"/>
          <w:lang w:val="en-US" w:eastAsia="zh-CN"/>
        </w:rPr>
        <w:t>实有人员增加</w:t>
      </w:r>
      <w:r>
        <w:rPr>
          <w:rFonts w:hint="default" w:ascii="Times New Roman" w:hAnsi="Times New Roman" w:eastAsia="方正仿宋_GBK" w:cs="Times New Roman"/>
          <w:color w:val="auto"/>
          <w:sz w:val="32"/>
          <w:szCs w:val="32"/>
          <w:shd w:val="clear" w:color="auto" w:fill="FFFFFF"/>
        </w:rPr>
        <w:t>。</w:t>
      </w:r>
    </w:p>
    <w:p w14:paraId="3B4AD8B2">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）卫生健康支出</w:t>
      </w:r>
      <w:r>
        <w:rPr>
          <w:rFonts w:hint="default" w:ascii="Times New Roman" w:hAnsi="Times New Roman" w:eastAsia="方正仿宋_GBK" w:cs="Times New Roman"/>
          <w:color w:val="auto"/>
          <w:sz w:val="32"/>
          <w:szCs w:val="32"/>
        </w:rPr>
        <w:t>44.01</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2.22</w:t>
      </w:r>
      <w:r>
        <w:rPr>
          <w:rFonts w:hint="default" w:ascii="Times New Roman" w:hAnsi="Times New Roman" w:eastAsia="方正仿宋_GBK" w:cs="Times New Roman"/>
          <w:color w:val="auto"/>
          <w:sz w:val="32"/>
          <w:szCs w:val="32"/>
          <w:shd w:val="clear" w:color="auto" w:fill="FFFFFF"/>
        </w:rPr>
        <w:t>%，较年初预算数减少0.06万元，下降0.1%，主要原因是预算执行过程中根据实际工作开展情况正常</w:t>
      </w:r>
      <w:r>
        <w:rPr>
          <w:rFonts w:hint="eastAsia" w:ascii="Times New Roman" w:hAnsi="Times New Roman" w:eastAsia="方正仿宋_GBK" w:cs="Times New Roman"/>
          <w:color w:val="auto"/>
          <w:sz w:val="32"/>
          <w:szCs w:val="32"/>
          <w:shd w:val="clear" w:color="auto" w:fill="FFFFFF"/>
          <w:lang w:val="en-US" w:eastAsia="zh-CN"/>
        </w:rPr>
        <w:t>调整</w:t>
      </w:r>
      <w:r>
        <w:rPr>
          <w:rFonts w:hint="default" w:ascii="Times New Roman" w:hAnsi="Times New Roman" w:eastAsia="方正仿宋_GBK" w:cs="Times New Roman"/>
          <w:color w:val="auto"/>
          <w:sz w:val="32"/>
          <w:szCs w:val="32"/>
          <w:shd w:val="clear" w:color="auto" w:fill="FFFFFF"/>
        </w:rPr>
        <w:t>。</w:t>
      </w:r>
    </w:p>
    <w:p w14:paraId="7E63DEFB">
      <w:pPr>
        <w:keepNext w:val="0"/>
        <w:keepLines w:val="0"/>
        <w:pageBreakBefore w:val="0"/>
        <w:widowControl/>
        <w:shd w:val="clear"/>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5</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住房保障支出61.91</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3.12</w:t>
      </w:r>
      <w:r>
        <w:rPr>
          <w:rFonts w:hint="default" w:ascii="Times New Roman" w:hAnsi="Times New Roman" w:eastAsia="方正仿宋_GBK" w:cs="Times New Roman"/>
          <w:color w:val="auto"/>
          <w:sz w:val="32"/>
          <w:szCs w:val="32"/>
          <w:shd w:val="clear" w:color="auto" w:fill="FFFFFF"/>
        </w:rPr>
        <w:t>%，较年初预算数增加3.13万元，增长5.3%，主要原因是</w:t>
      </w:r>
      <w:r>
        <w:rPr>
          <w:rFonts w:hint="eastAsia" w:ascii="Times New Roman" w:hAnsi="Times New Roman" w:eastAsia="方正仿宋_GBK" w:cs="Times New Roman"/>
          <w:color w:val="auto"/>
          <w:sz w:val="32"/>
          <w:szCs w:val="32"/>
          <w:shd w:val="clear" w:color="auto" w:fill="FFFFFF"/>
          <w:lang w:val="en-US" w:eastAsia="zh-CN"/>
        </w:rPr>
        <w:t>实有人员增加</w:t>
      </w:r>
      <w:r>
        <w:rPr>
          <w:rFonts w:hint="default" w:ascii="Times New Roman" w:hAnsi="Times New Roman" w:eastAsia="方正仿宋_GBK" w:cs="Times New Roman"/>
          <w:color w:val="auto"/>
          <w:sz w:val="32"/>
          <w:szCs w:val="32"/>
          <w:shd w:val="clear" w:color="auto" w:fill="FFFFFF"/>
        </w:rPr>
        <w:t>。</w:t>
      </w:r>
    </w:p>
    <w:p w14:paraId="2C0E43B5">
      <w:pPr>
        <w:keepNext w:val="0"/>
        <w:keepLines w:val="0"/>
        <w:pageBreakBefore w:val="0"/>
        <w:widowControl/>
        <w:shd w:val="clear"/>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6</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灾害防治及应急管理支出1766.12</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88.91</w:t>
      </w:r>
      <w:r>
        <w:rPr>
          <w:rFonts w:hint="default" w:ascii="Times New Roman" w:hAnsi="Times New Roman" w:eastAsia="方正仿宋_GBK" w:cs="Times New Roman"/>
          <w:color w:val="auto"/>
          <w:sz w:val="32"/>
          <w:szCs w:val="32"/>
          <w:shd w:val="clear" w:color="auto" w:fill="FFFFFF"/>
        </w:rPr>
        <w:t>%，较年初预算数减少1453.31万元，下降45.1%，主要原因是全区安全隐患资金在年度中间根据实际情况调整预算至各单位使用。</w:t>
      </w:r>
    </w:p>
    <w:p w14:paraId="20E53810">
      <w:pPr>
        <w:pStyle w:val="11"/>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（四）一般公共预算财政拨款基本支出决算情况说明</w:t>
      </w:r>
    </w:p>
    <w:p w14:paraId="50E85C23">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2024年度一般公共财政拨款基本支出</w:t>
      </w:r>
      <w:r>
        <w:rPr>
          <w:rFonts w:hint="default" w:ascii="Times New Roman" w:hAnsi="Times New Roman" w:eastAsia="方正仿宋_GBK" w:cs="Times New Roman"/>
          <w:color w:val="auto"/>
          <w:sz w:val="32"/>
          <w:szCs w:val="32"/>
        </w:rPr>
        <w:t>877.51</w:t>
      </w:r>
      <w:r>
        <w:rPr>
          <w:rFonts w:hint="default" w:ascii="Times New Roman" w:hAnsi="Times New Roman" w:eastAsia="方正仿宋_GBK" w:cs="Times New Roman"/>
          <w:color w:val="auto"/>
          <w:sz w:val="32"/>
          <w:szCs w:val="32"/>
          <w:shd w:val="clear" w:color="auto" w:fill="FFFFFF"/>
        </w:rPr>
        <w:t>万元。其中：人员经费</w:t>
      </w:r>
      <w:r>
        <w:rPr>
          <w:rFonts w:hint="default" w:ascii="Times New Roman" w:hAnsi="Times New Roman" w:eastAsia="方正仿宋_GBK" w:cs="Times New Roman"/>
          <w:color w:val="auto"/>
          <w:sz w:val="32"/>
          <w:szCs w:val="32"/>
        </w:rPr>
        <w:t>748.21</w:t>
      </w:r>
      <w:r>
        <w:rPr>
          <w:rFonts w:hint="default" w:ascii="Times New Roman" w:hAnsi="Times New Roman" w:eastAsia="方正仿宋_GBK" w:cs="Times New Roman"/>
          <w:color w:val="auto"/>
          <w:sz w:val="32"/>
          <w:szCs w:val="32"/>
          <w:shd w:val="clear" w:color="auto" w:fill="FFFFFF"/>
        </w:rPr>
        <w:t>万元，与2023年度相比，增加100.49万元，增长15.5%，主要原因是</w:t>
      </w:r>
      <w:r>
        <w:rPr>
          <w:rFonts w:hint="default" w:ascii="Times New Roman" w:hAnsi="Times New Roman" w:eastAsia="方正仿宋_GBK" w:cs="Times New Roman"/>
          <w:color w:val="auto"/>
          <w:sz w:val="32"/>
          <w:szCs w:val="32"/>
          <w:shd w:val="clear" w:color="auto" w:fill="FFFFFF"/>
          <w:lang w:val="en-US" w:eastAsia="zh-CN"/>
        </w:rPr>
        <w:t>实有人员增加</w:t>
      </w:r>
      <w:r>
        <w:rPr>
          <w:rFonts w:hint="default" w:ascii="Times New Roman" w:hAnsi="Times New Roman" w:eastAsia="方正仿宋_GBK" w:cs="Times New Roman"/>
          <w:color w:val="auto"/>
          <w:sz w:val="32"/>
          <w:szCs w:val="32"/>
          <w:shd w:val="clear" w:color="auto" w:fill="FFFFFF"/>
        </w:rPr>
        <w:t>。人员经费用途主要包括主要包括基本工资、津贴补贴、奖金、绩效工资、机关事业单位基本养老保险缴费、职业年金缴费、职工基本医疗保险缴费、其他社会保障缴费、住房公积金、医疗费、其他工资福利支出、生活补助和医疗费补助。公用经费</w:t>
      </w:r>
      <w:r>
        <w:rPr>
          <w:rFonts w:hint="default" w:ascii="Times New Roman" w:hAnsi="Times New Roman" w:eastAsia="方正仿宋_GBK" w:cs="Times New Roman"/>
          <w:color w:val="auto"/>
          <w:sz w:val="32"/>
          <w:szCs w:val="32"/>
        </w:rPr>
        <w:t>129.3</w:t>
      </w:r>
      <w:r>
        <w:rPr>
          <w:rFonts w:hint="default" w:ascii="Times New Roman" w:hAnsi="Times New Roman" w:eastAsia="方正仿宋_GBK" w:cs="Times New Roman"/>
          <w:color w:val="auto"/>
          <w:sz w:val="32"/>
          <w:szCs w:val="32"/>
          <w:shd w:val="clear" w:color="auto" w:fill="FFFFFF"/>
        </w:rPr>
        <w:t>万元，与2023年度相比，增加14.2万元，增长12.3%，主要原因是</w:t>
      </w:r>
      <w:r>
        <w:rPr>
          <w:rFonts w:hint="default" w:ascii="Times New Roman" w:hAnsi="Times New Roman" w:eastAsia="方正仿宋_GBK" w:cs="Times New Roman"/>
          <w:color w:val="auto"/>
          <w:sz w:val="32"/>
          <w:szCs w:val="32"/>
          <w:shd w:val="clear" w:color="auto" w:fill="FFFFFF"/>
          <w:lang w:val="en-US" w:eastAsia="zh-CN"/>
        </w:rPr>
        <w:t>实有人员增加</w:t>
      </w:r>
      <w:r>
        <w:rPr>
          <w:rFonts w:hint="default" w:ascii="Times New Roman" w:hAnsi="Times New Roman" w:eastAsia="方正仿宋_GBK" w:cs="Times New Roman"/>
          <w:color w:val="auto"/>
          <w:sz w:val="32"/>
          <w:szCs w:val="32"/>
          <w:shd w:val="clear" w:color="auto" w:fill="FFFFFF"/>
        </w:rPr>
        <w:t>。公用经费用途主要包括</w:t>
      </w:r>
      <w:r>
        <w:rPr>
          <w:rFonts w:hint="default" w:ascii="Times New Roman" w:hAnsi="Times New Roman" w:eastAsia="方正仿宋_GBK" w:cs="Times New Roman"/>
          <w:b w:val="0"/>
          <w:bCs w:val="0"/>
          <w:color w:val="auto"/>
          <w:sz w:val="32"/>
          <w:szCs w:val="32"/>
          <w:shd w:val="clear" w:color="auto" w:fill="FFFFFF"/>
        </w:rPr>
        <w:t>办公费、邮电费、差旅费、培训费、委托业务费、工会经费、福利费、公务用车运行维护费、其他交通费用和其他商品和服务支出。</w:t>
      </w:r>
    </w:p>
    <w:p w14:paraId="5CDF63E0">
      <w:pPr>
        <w:pStyle w:val="11"/>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（五）政府性基金预算收支决算情况说明</w:t>
      </w:r>
    </w:p>
    <w:p w14:paraId="15B79E5C">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本部门2024年度无政府性基金预算财政拨款收支。</w:t>
      </w:r>
    </w:p>
    <w:p w14:paraId="7C17E26D">
      <w:pPr>
        <w:pStyle w:val="11"/>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（六）国有资本经营预算财政拨款支出决算情况说明</w:t>
      </w:r>
    </w:p>
    <w:p w14:paraId="3F35B320">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val="0"/>
          <w:bCs w:val="0"/>
          <w:color w:val="auto"/>
          <w:sz w:val="32"/>
          <w:szCs w:val="32"/>
          <w:shd w:val="clear" w:color="auto" w:fill="FFFFFF"/>
        </w:rPr>
        <w:t>本部门2024年度无国有资本经营预算财政拨款支出。</w:t>
      </w:r>
    </w:p>
    <w:p w14:paraId="05F3CD62">
      <w:pPr>
        <w:pStyle w:val="6"/>
        <w:keepNext w:val="0"/>
        <w:keepLines w:val="0"/>
        <w:pageBreakBefore w:val="0"/>
        <w:widowControl/>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Style w:val="10"/>
          <w:rFonts w:hint="default" w:ascii="Times New Roman" w:hAnsi="Times New Roman" w:eastAsia="方正黑体_GBK" w:cs="Times New Roman"/>
          <w:b w:val="0"/>
          <w:bCs/>
          <w:color w:val="auto"/>
          <w:sz w:val="32"/>
          <w:szCs w:val="32"/>
          <w:shd w:val="clear" w:color="auto" w:fill="FFFFFF"/>
        </w:rPr>
      </w:pPr>
      <w:r>
        <w:rPr>
          <w:rStyle w:val="10"/>
          <w:rFonts w:hint="default" w:ascii="Times New Roman" w:hAnsi="Times New Roman" w:eastAsia="方正黑体_GBK" w:cs="Times New Roman"/>
          <w:b w:val="0"/>
          <w:bCs/>
          <w:color w:val="auto"/>
          <w:sz w:val="32"/>
          <w:szCs w:val="32"/>
          <w:shd w:val="clear" w:color="auto" w:fill="FFFFFF"/>
        </w:rPr>
        <w:t>三、财政拨款“三公”经费情况说明</w:t>
      </w:r>
    </w:p>
    <w:p w14:paraId="69850920">
      <w:pPr>
        <w:pStyle w:val="11"/>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（一）“三公”经费支出总体情况说明</w:t>
      </w:r>
    </w:p>
    <w:p w14:paraId="0F749E23">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2024年度“三公”经费支出共计</w:t>
      </w:r>
      <w:r>
        <w:rPr>
          <w:rFonts w:hint="default" w:ascii="Times New Roman" w:hAnsi="Times New Roman" w:eastAsia="方正仿宋_GBK" w:cs="Times New Roman"/>
          <w:color w:val="auto"/>
          <w:sz w:val="32"/>
          <w:szCs w:val="32"/>
        </w:rPr>
        <w:t>8.26</w:t>
      </w:r>
      <w:r>
        <w:rPr>
          <w:rFonts w:hint="default" w:ascii="Times New Roman" w:hAnsi="Times New Roman" w:eastAsia="方正仿宋_GBK" w:cs="Times New Roman"/>
          <w:color w:val="auto"/>
          <w:sz w:val="32"/>
          <w:szCs w:val="32"/>
          <w:shd w:val="clear" w:color="auto" w:fill="FFFFFF"/>
        </w:rPr>
        <w:t>万元，较年初预算数减少12.24万元，下降59.7%，主要原因是</w:t>
      </w:r>
      <w:r>
        <w:rPr>
          <w:rFonts w:hint="default" w:ascii="Times New Roman" w:hAnsi="Times New Roman" w:eastAsia="方正仿宋_GBK" w:cs="Times New Roman"/>
          <w:b w:val="0"/>
          <w:bCs w:val="0"/>
          <w:color w:val="auto"/>
          <w:sz w:val="32"/>
          <w:szCs w:val="32"/>
          <w:shd w:val="clear" w:color="auto" w:fill="FFFFFF"/>
        </w:rPr>
        <w:t>认真贯彻落实中央八项规定及其实施细则精神，坚持厉行勤俭节约。</w:t>
      </w:r>
      <w:r>
        <w:rPr>
          <w:rFonts w:hint="default" w:ascii="Times New Roman" w:hAnsi="Times New Roman" w:eastAsia="方正仿宋_GBK" w:cs="Times New Roman"/>
          <w:color w:val="auto"/>
          <w:sz w:val="32"/>
          <w:szCs w:val="32"/>
          <w:shd w:val="clear" w:color="auto" w:fill="FFFFFF"/>
        </w:rPr>
        <w:t>较上年支出数减少0.34万元，下降4.0%，主要原因是</w:t>
      </w:r>
      <w:r>
        <w:rPr>
          <w:rFonts w:hint="default" w:ascii="Times New Roman" w:hAnsi="Times New Roman" w:eastAsia="方正仿宋_GBK" w:cs="Times New Roman"/>
          <w:b w:val="0"/>
          <w:bCs w:val="0"/>
          <w:color w:val="auto"/>
          <w:sz w:val="32"/>
          <w:szCs w:val="32"/>
          <w:shd w:val="clear" w:color="auto" w:fill="FFFFFF"/>
        </w:rPr>
        <w:t>认真贯彻落实中央八项规定及其实施细则精神，坚持厉行勤俭节约。</w:t>
      </w:r>
    </w:p>
    <w:p w14:paraId="6D885244">
      <w:pPr>
        <w:pStyle w:val="11"/>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（二）“三公”经费分项支出情况</w:t>
      </w:r>
    </w:p>
    <w:p w14:paraId="418228C8">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2024年度本部门因公出国（境）费用</w:t>
      </w:r>
      <w:r>
        <w:rPr>
          <w:rFonts w:hint="eastAsia" w:ascii="Times New Roman" w:hAnsi="Times New Roman" w:eastAsia="方正仿宋_GBK" w:cs="Times New Roman"/>
          <w:color w:val="auto"/>
          <w:sz w:val="32"/>
          <w:szCs w:val="32"/>
          <w:lang w:eastAsia="zh-CN"/>
        </w:rPr>
        <w:t>0万元</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费用支出较年初预算数</w:t>
      </w:r>
      <w:r>
        <w:rPr>
          <w:rFonts w:hint="eastAsia" w:ascii="Times New Roman" w:hAnsi="Times New Roman" w:eastAsia="方正仿宋_GBK" w:cs="Times New Roman"/>
          <w:color w:val="auto"/>
          <w:sz w:val="32"/>
          <w:szCs w:val="32"/>
          <w:shd w:val="clear" w:color="auto" w:fill="FFFFFF"/>
          <w:lang w:val="en-US" w:eastAsia="zh-CN"/>
        </w:rPr>
        <w:t>和上年支出数持平</w:t>
      </w:r>
      <w:r>
        <w:rPr>
          <w:rFonts w:hint="default" w:ascii="Times New Roman" w:hAnsi="Times New Roman" w:eastAsia="方正仿宋_GBK" w:cs="Times New Roman"/>
          <w:color w:val="auto"/>
          <w:sz w:val="32"/>
          <w:szCs w:val="32"/>
          <w:shd w:val="clear" w:color="auto" w:fill="FFFFFF"/>
        </w:rPr>
        <w:t>。</w:t>
      </w:r>
    </w:p>
    <w:p w14:paraId="5B671423">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公务车购置费</w:t>
      </w:r>
      <w:r>
        <w:rPr>
          <w:rFonts w:hint="eastAsia" w:ascii="Times New Roman" w:hAnsi="Times New Roman" w:eastAsia="方正仿宋_GBK" w:cs="Times New Roman"/>
          <w:color w:val="auto"/>
          <w:sz w:val="32"/>
          <w:szCs w:val="32"/>
          <w:lang w:eastAsia="zh-CN"/>
        </w:rPr>
        <w:t>0万元，</w:t>
      </w:r>
      <w:r>
        <w:rPr>
          <w:rFonts w:hint="default" w:ascii="Times New Roman" w:hAnsi="Times New Roman" w:eastAsia="方正仿宋_GBK" w:cs="Times New Roman"/>
          <w:color w:val="auto"/>
          <w:sz w:val="32"/>
          <w:szCs w:val="32"/>
          <w:shd w:val="clear" w:color="auto" w:fill="FFFFFF"/>
        </w:rPr>
        <w:t>费用支出较年初预算数</w:t>
      </w:r>
      <w:r>
        <w:rPr>
          <w:rFonts w:hint="eastAsia" w:ascii="Times New Roman" w:hAnsi="Times New Roman" w:eastAsia="方正仿宋_GBK" w:cs="Times New Roman"/>
          <w:color w:val="auto"/>
          <w:sz w:val="32"/>
          <w:szCs w:val="32"/>
          <w:shd w:val="clear" w:color="auto" w:fill="FFFFFF"/>
          <w:lang w:val="en-US" w:eastAsia="zh-CN"/>
        </w:rPr>
        <w:t>和上年支出数持平</w:t>
      </w:r>
      <w:r>
        <w:rPr>
          <w:rFonts w:hint="default" w:ascii="Times New Roman" w:hAnsi="Times New Roman" w:eastAsia="方正仿宋_GBK" w:cs="Times New Roman"/>
          <w:color w:val="auto"/>
          <w:sz w:val="32"/>
          <w:szCs w:val="32"/>
          <w:shd w:val="clear" w:color="auto" w:fill="FFFFFF"/>
        </w:rPr>
        <w:t>。</w:t>
      </w:r>
    </w:p>
    <w:p w14:paraId="1A7B2D11">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公务车运行维护费</w:t>
      </w:r>
      <w:r>
        <w:rPr>
          <w:rFonts w:hint="default" w:ascii="Times New Roman" w:hAnsi="Times New Roman" w:eastAsia="方正仿宋_GBK" w:cs="Times New Roman"/>
          <w:color w:val="auto"/>
          <w:sz w:val="32"/>
          <w:szCs w:val="32"/>
        </w:rPr>
        <w:t>8.1</w:t>
      </w:r>
      <w:r>
        <w:rPr>
          <w:rFonts w:hint="default" w:ascii="Times New Roman" w:hAnsi="Times New Roman" w:eastAsia="方正仿宋_GBK" w:cs="Times New Roman"/>
          <w:color w:val="auto"/>
          <w:sz w:val="32"/>
          <w:szCs w:val="32"/>
          <w:shd w:val="clear" w:color="auto" w:fill="FFFFFF"/>
        </w:rPr>
        <w:t>万元，主要用于公务用车燃料费、维修费、过桥过路费、保险费等支出。费用支出较年初预算数减少10.4万元，下降56.2%，主要原因是坚持厉行勤俭节约。较上年支出数减少0.5万元，下降5.8%，主要原因是认真贯彻落实中央八项规定及其实施细则精神，坚持厉行勤俭节约。</w:t>
      </w:r>
    </w:p>
    <w:p w14:paraId="2DF9FEAD">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公务接待费</w:t>
      </w:r>
      <w:r>
        <w:rPr>
          <w:rFonts w:hint="default" w:ascii="Times New Roman" w:hAnsi="Times New Roman" w:eastAsia="方正仿宋_GBK" w:cs="Times New Roman"/>
          <w:color w:val="auto"/>
          <w:sz w:val="32"/>
          <w:szCs w:val="32"/>
        </w:rPr>
        <w:t>0.15</w:t>
      </w:r>
      <w:r>
        <w:rPr>
          <w:rFonts w:hint="default" w:ascii="Times New Roman" w:hAnsi="Times New Roman" w:eastAsia="方正仿宋_GBK" w:cs="Times New Roman"/>
          <w:color w:val="auto"/>
          <w:sz w:val="32"/>
          <w:szCs w:val="32"/>
          <w:shd w:val="clear" w:color="auto" w:fill="FFFFFF"/>
        </w:rPr>
        <w:t>万元，主要用于接待</w:t>
      </w:r>
      <w:r>
        <w:rPr>
          <w:rFonts w:hint="eastAsia" w:ascii="Times New Roman" w:hAnsi="Times New Roman" w:eastAsia="方正仿宋_GBK" w:cs="Times New Roman"/>
          <w:b w:val="0"/>
          <w:bCs w:val="0"/>
          <w:color w:val="auto"/>
          <w:sz w:val="32"/>
          <w:szCs w:val="32"/>
          <w:shd w:val="clear" w:color="auto" w:fill="FFFFFF"/>
          <w:lang w:val="en-US" w:eastAsia="zh-CN"/>
        </w:rPr>
        <w:t>其他省</w:t>
      </w:r>
      <w:r>
        <w:rPr>
          <w:rFonts w:hint="default" w:ascii="Times New Roman" w:hAnsi="Times New Roman" w:eastAsia="方正仿宋_GBK" w:cs="Times New Roman"/>
          <w:b w:val="0"/>
          <w:bCs w:val="0"/>
          <w:color w:val="auto"/>
          <w:sz w:val="32"/>
          <w:szCs w:val="32"/>
          <w:shd w:val="clear" w:color="auto" w:fill="FFFFFF"/>
        </w:rPr>
        <w:t>市</w:t>
      </w:r>
      <w:r>
        <w:rPr>
          <w:rFonts w:hint="eastAsia" w:ascii="Times New Roman" w:hAnsi="Times New Roman" w:eastAsia="方正仿宋_GBK" w:cs="Times New Roman"/>
          <w:b w:val="0"/>
          <w:bCs w:val="0"/>
          <w:color w:val="auto"/>
          <w:sz w:val="32"/>
          <w:szCs w:val="32"/>
          <w:shd w:val="clear" w:color="auto" w:fill="FFFFFF"/>
          <w:lang w:val="en-US" w:eastAsia="zh-CN"/>
        </w:rPr>
        <w:t>应急管理局</w:t>
      </w:r>
      <w:r>
        <w:rPr>
          <w:rFonts w:hint="default" w:ascii="Times New Roman" w:hAnsi="Times New Roman" w:eastAsia="方正仿宋_GBK" w:cs="Times New Roman"/>
          <w:b w:val="0"/>
          <w:bCs w:val="0"/>
          <w:color w:val="auto"/>
          <w:sz w:val="32"/>
          <w:szCs w:val="32"/>
          <w:shd w:val="clear" w:color="auto" w:fill="FFFFFF"/>
        </w:rPr>
        <w:t>来</w:t>
      </w:r>
      <w:r>
        <w:rPr>
          <w:rFonts w:hint="eastAsia" w:ascii="Times New Roman" w:hAnsi="Times New Roman" w:eastAsia="方正仿宋_GBK" w:cs="Times New Roman"/>
          <w:b w:val="0"/>
          <w:bCs w:val="0"/>
          <w:color w:val="auto"/>
          <w:sz w:val="32"/>
          <w:szCs w:val="32"/>
          <w:shd w:val="clear" w:color="auto" w:fill="FFFFFF"/>
          <w:lang w:val="en-US" w:eastAsia="zh-CN"/>
        </w:rPr>
        <w:t>区</w:t>
      </w:r>
      <w:r>
        <w:rPr>
          <w:rFonts w:hint="default" w:ascii="Times New Roman" w:hAnsi="Times New Roman" w:eastAsia="方正仿宋_GBK" w:cs="Times New Roman"/>
          <w:b w:val="0"/>
          <w:bCs w:val="0"/>
          <w:color w:val="auto"/>
          <w:sz w:val="32"/>
          <w:szCs w:val="32"/>
          <w:shd w:val="clear" w:color="auto" w:fill="FFFFFF"/>
        </w:rPr>
        <w:t>考察学习。</w:t>
      </w:r>
      <w:r>
        <w:rPr>
          <w:rFonts w:hint="default" w:ascii="Times New Roman" w:hAnsi="Times New Roman" w:eastAsia="方正仿宋_GBK" w:cs="Times New Roman"/>
          <w:color w:val="auto"/>
          <w:sz w:val="32"/>
          <w:szCs w:val="32"/>
          <w:shd w:val="clear" w:color="auto" w:fill="FFFFFF"/>
        </w:rPr>
        <w:t>费用支出较年初预算数减少1.85万元，下降92.5%，主要原因是认真贯彻落实中央八项规定及其实施细则精神，坚持厉行勤俭节约。较上年支出数增加0.15万元，增长100.0%，主要原因是上年度根据工作计划未发生国内公务接待支出。</w:t>
      </w:r>
    </w:p>
    <w:p w14:paraId="576C3552">
      <w:pPr>
        <w:pStyle w:val="11"/>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（三）“三公”经费实物量情况</w:t>
      </w:r>
    </w:p>
    <w:p w14:paraId="62FE59F0">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2024年度本部门因公出国（境）共计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个团组，</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人；公务用车购置</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辆，公务车保有量为</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shd w:val="clear" w:color="auto" w:fill="FFFFFF"/>
        </w:rPr>
        <w:t>辆；国内公务接待</w:t>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16</w:t>
      </w:r>
      <w:r>
        <w:rPr>
          <w:rFonts w:hint="default" w:ascii="Times New Roman" w:hAnsi="Times New Roman" w:eastAsia="方正仿宋_GBK" w:cs="Times New Roman"/>
          <w:color w:val="auto"/>
          <w:sz w:val="32"/>
          <w:szCs w:val="32"/>
          <w:shd w:val="clear" w:color="auto" w:fill="FFFFFF"/>
        </w:rPr>
        <w:t>人，其中：国内外事接待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人；国（境）外公务接待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人。2024年本部门人均接待费</w:t>
      </w:r>
      <w:r>
        <w:rPr>
          <w:rFonts w:hint="default" w:ascii="Times New Roman" w:hAnsi="Times New Roman" w:eastAsia="方正仿宋_GBK" w:cs="Times New Roman"/>
          <w:color w:val="auto"/>
          <w:sz w:val="32"/>
          <w:szCs w:val="32"/>
        </w:rPr>
        <w:t>96.63</w:t>
      </w:r>
      <w:r>
        <w:rPr>
          <w:rFonts w:hint="default" w:ascii="Times New Roman" w:hAnsi="Times New Roman" w:eastAsia="方正仿宋_GBK" w:cs="Times New Roman"/>
          <w:color w:val="auto"/>
          <w:sz w:val="32"/>
          <w:szCs w:val="32"/>
          <w:shd w:val="clear" w:color="auto" w:fill="FFFFFF"/>
        </w:rPr>
        <w:t>元，车均购置费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万元，车均维护费</w:t>
      </w:r>
      <w:r>
        <w:rPr>
          <w:rFonts w:hint="default" w:ascii="Times New Roman" w:hAnsi="Times New Roman" w:eastAsia="方正仿宋_GBK" w:cs="Times New Roman"/>
          <w:color w:val="auto"/>
          <w:sz w:val="32"/>
          <w:szCs w:val="32"/>
        </w:rPr>
        <w:t>4.05</w:t>
      </w:r>
      <w:r>
        <w:rPr>
          <w:rFonts w:hint="default" w:ascii="Times New Roman" w:hAnsi="Times New Roman" w:eastAsia="方正仿宋_GBK" w:cs="Times New Roman"/>
          <w:color w:val="auto"/>
          <w:sz w:val="32"/>
          <w:szCs w:val="32"/>
          <w:shd w:val="clear" w:color="auto" w:fill="FFFFFF"/>
        </w:rPr>
        <w:t>万元。</w:t>
      </w:r>
    </w:p>
    <w:p w14:paraId="461F61FA">
      <w:pPr>
        <w:pStyle w:val="6"/>
        <w:keepNext w:val="0"/>
        <w:keepLines w:val="0"/>
        <w:pageBreakBefore w:val="0"/>
        <w:widowControl/>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Style w:val="10"/>
          <w:rFonts w:hint="default" w:ascii="Times New Roman" w:hAnsi="Times New Roman" w:eastAsia="方正黑体_GBK" w:cs="Times New Roman"/>
          <w:b w:val="0"/>
          <w:bCs/>
          <w:color w:val="auto"/>
          <w:sz w:val="32"/>
          <w:szCs w:val="32"/>
          <w:shd w:val="clear" w:color="auto" w:fill="FFFFFF"/>
        </w:rPr>
      </w:pPr>
      <w:r>
        <w:rPr>
          <w:rStyle w:val="10"/>
          <w:rFonts w:hint="default" w:ascii="Times New Roman" w:hAnsi="Times New Roman" w:eastAsia="方正黑体_GBK" w:cs="Times New Roman"/>
          <w:b w:val="0"/>
          <w:bCs/>
          <w:color w:val="auto"/>
          <w:sz w:val="32"/>
          <w:szCs w:val="32"/>
          <w:shd w:val="clear" w:color="auto" w:fill="FFFFFF"/>
        </w:rPr>
        <w:t>四、其他需要说明的事项</w:t>
      </w:r>
    </w:p>
    <w:p w14:paraId="06DE13D3">
      <w:pPr>
        <w:pStyle w:val="11"/>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（一）财政拨款会议费和培训费情况说明</w:t>
      </w:r>
    </w:p>
    <w:p w14:paraId="434C153C">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本年度会议费支出</w:t>
      </w:r>
      <w:r>
        <w:rPr>
          <w:rFonts w:hint="default" w:ascii="Times New Roman" w:hAnsi="Times New Roman" w:eastAsia="方正仿宋_GBK" w:cs="Times New Roman"/>
          <w:color w:val="auto"/>
          <w:sz w:val="32"/>
          <w:szCs w:val="32"/>
        </w:rPr>
        <w:t>4.53</w:t>
      </w:r>
      <w:r>
        <w:rPr>
          <w:rFonts w:hint="default" w:ascii="Times New Roman" w:hAnsi="Times New Roman" w:eastAsia="方正仿宋_GBK" w:cs="Times New Roman"/>
          <w:color w:val="auto"/>
          <w:sz w:val="32"/>
          <w:szCs w:val="32"/>
          <w:shd w:val="clear" w:color="auto" w:fill="FFFFFF"/>
        </w:rPr>
        <w:t>万元，与2023年度相比，增加2.69万元，增长146.2%，主要原因是2024年进一步加强对全区安全生产与防灾减灾救灾工作的统筹，新承担专项任务，部署、协调和评审会议数量及规模均有不同程度的增加。本年度培训费支出</w:t>
      </w:r>
      <w:r>
        <w:rPr>
          <w:rFonts w:hint="default" w:ascii="Times New Roman" w:hAnsi="Times New Roman" w:eastAsia="方正仿宋_GBK" w:cs="Times New Roman"/>
          <w:color w:val="auto"/>
          <w:sz w:val="32"/>
          <w:szCs w:val="32"/>
        </w:rPr>
        <w:t>43.32</w:t>
      </w:r>
      <w:r>
        <w:rPr>
          <w:rFonts w:hint="default" w:ascii="Times New Roman" w:hAnsi="Times New Roman" w:eastAsia="方正仿宋_GBK" w:cs="Times New Roman"/>
          <w:color w:val="auto"/>
          <w:sz w:val="32"/>
          <w:szCs w:val="32"/>
          <w:shd w:val="clear" w:color="auto" w:fill="FFFFFF"/>
        </w:rPr>
        <w:t>万元，与2023年度相比，减少38.42万元，下降47.0%，主要原因是积极响应关于“习惯过紧日子”的要求，</w:t>
      </w:r>
      <w:r>
        <w:rPr>
          <w:rFonts w:hint="eastAsia" w:ascii="Times New Roman" w:hAnsi="Times New Roman" w:eastAsia="方正仿宋_GBK" w:cs="Times New Roman"/>
          <w:color w:val="auto"/>
          <w:sz w:val="32"/>
          <w:szCs w:val="32"/>
          <w:shd w:val="clear" w:color="auto" w:fill="FFFFFF"/>
          <w:lang w:val="en-US" w:eastAsia="zh-CN"/>
        </w:rPr>
        <w:t>未开展市外培训，</w:t>
      </w:r>
      <w:r>
        <w:rPr>
          <w:rFonts w:hint="default" w:ascii="Times New Roman" w:hAnsi="Times New Roman" w:eastAsia="方正仿宋_GBK" w:cs="Times New Roman"/>
          <w:color w:val="auto"/>
          <w:sz w:val="32"/>
          <w:szCs w:val="32"/>
          <w:shd w:val="clear" w:color="auto" w:fill="FFFFFF"/>
        </w:rPr>
        <w:t>大幅压减非刚性、非重点的培训项目支出，优先保障核心业务需求。</w:t>
      </w:r>
    </w:p>
    <w:p w14:paraId="3B657F39">
      <w:pPr>
        <w:pStyle w:val="11"/>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（二）机关运行经费情况说明</w:t>
      </w:r>
    </w:p>
    <w:p w14:paraId="612F2EDC">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2024年度本部门机关运行经费支出</w:t>
      </w:r>
      <w:r>
        <w:rPr>
          <w:rFonts w:hint="default" w:ascii="Times New Roman" w:hAnsi="Times New Roman" w:eastAsia="方正仿宋_GBK" w:cs="Times New Roman"/>
          <w:color w:val="auto"/>
          <w:sz w:val="32"/>
          <w:szCs w:val="32"/>
        </w:rPr>
        <w:t>123.55</w:t>
      </w:r>
      <w:r>
        <w:rPr>
          <w:rFonts w:hint="default" w:ascii="Times New Roman" w:hAnsi="Times New Roman" w:eastAsia="方正仿宋_GBK" w:cs="Times New Roman"/>
          <w:color w:val="auto"/>
          <w:sz w:val="32"/>
          <w:szCs w:val="32"/>
          <w:shd w:val="clear" w:color="auto" w:fill="FFFFFF"/>
        </w:rPr>
        <w:t>万元，机关运行经费主要用于开支办公费、邮电费、差旅费、培训费、委托业务费、工会经费、福利费、公务用车运行维护费、其他交通费用和其他商品和服务支出。机关运行经费较上年支出数增加8.45万元，增长7.3%，主要原因是2024年，</w:t>
      </w:r>
      <w:r>
        <w:rPr>
          <w:rFonts w:hint="eastAsia" w:ascii="Times New Roman" w:hAnsi="Times New Roman" w:eastAsia="方正仿宋_GBK" w:cs="Times New Roman"/>
          <w:color w:val="auto"/>
          <w:sz w:val="32"/>
          <w:szCs w:val="32"/>
          <w:shd w:val="clear" w:color="auto" w:fill="FFFFFF"/>
          <w:lang w:val="en-US" w:eastAsia="zh-CN"/>
        </w:rPr>
        <w:t>重庆市专业应急救援队伍渝中支队</w:t>
      </w:r>
      <w:r>
        <w:rPr>
          <w:rFonts w:hint="default" w:ascii="Times New Roman" w:hAnsi="Times New Roman" w:eastAsia="方正仿宋_GBK" w:cs="Times New Roman"/>
          <w:color w:val="auto"/>
          <w:sz w:val="32"/>
          <w:szCs w:val="32"/>
          <w:shd w:val="clear" w:color="auto" w:fill="FFFFFF"/>
        </w:rPr>
        <w:t>进入首个完整运行年度，各项工作全面展开，业务量增大，相应的办公费、印刷费、差旅费、工会经费等日常运行经费较2023年有所增加。</w:t>
      </w:r>
    </w:p>
    <w:p w14:paraId="3F760076">
      <w:pPr>
        <w:pStyle w:val="11"/>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（三）国有资产占用情况说明</w:t>
      </w:r>
    </w:p>
    <w:p w14:paraId="69DB3DAF">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截至2024年12月31日，本部门共有车辆</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shd w:val="clear" w:color="auto" w:fill="FFFFFF"/>
        </w:rPr>
        <w:t>辆，其中，副部（省）级及以上领导用车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辆、主要负责人用车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辆、机要通信用车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辆、应急保障用车</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shd w:val="clear" w:color="auto" w:fill="FFFFFF"/>
        </w:rPr>
        <w:t>辆、执法执勤用车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辆，特种专业技术用车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辆，离退休干部用车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辆。单价100万元（含）以上专用设备</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台（套）。</w:t>
      </w:r>
    </w:p>
    <w:p w14:paraId="0C426F27">
      <w:pPr>
        <w:pStyle w:val="11"/>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（四）政府采购支出情况说明</w:t>
      </w:r>
    </w:p>
    <w:p w14:paraId="28BE2C63">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2024年度本部门政府采购支出总额</w:t>
      </w:r>
      <w:r>
        <w:rPr>
          <w:rFonts w:hint="default" w:ascii="Times New Roman" w:hAnsi="Times New Roman" w:eastAsia="方正仿宋_GBK" w:cs="Times New Roman"/>
          <w:color w:val="auto"/>
          <w:sz w:val="32"/>
          <w:szCs w:val="32"/>
        </w:rPr>
        <w:t>211.8</w:t>
      </w:r>
      <w:r>
        <w:rPr>
          <w:rFonts w:hint="default" w:ascii="Times New Roman" w:hAnsi="Times New Roman" w:eastAsia="方正仿宋_GBK" w:cs="Times New Roman"/>
          <w:color w:val="auto"/>
          <w:sz w:val="32"/>
          <w:szCs w:val="32"/>
          <w:shd w:val="clear" w:color="auto" w:fill="FFFFFF"/>
        </w:rPr>
        <w:t>万元，其中：政府采购货物支出</w:t>
      </w:r>
      <w:r>
        <w:rPr>
          <w:rFonts w:hint="default" w:ascii="Times New Roman" w:hAnsi="Times New Roman" w:eastAsia="方正仿宋_GBK" w:cs="Times New Roman"/>
          <w:color w:val="auto"/>
          <w:sz w:val="32"/>
          <w:szCs w:val="32"/>
        </w:rPr>
        <w:t>1.8</w:t>
      </w:r>
      <w:r>
        <w:rPr>
          <w:rFonts w:hint="default" w:ascii="Times New Roman" w:hAnsi="Times New Roman" w:eastAsia="方正仿宋_GBK" w:cs="Times New Roman"/>
          <w:color w:val="auto"/>
          <w:sz w:val="32"/>
          <w:szCs w:val="32"/>
          <w:shd w:val="clear" w:color="auto" w:fill="FFFFFF"/>
        </w:rPr>
        <w:t>万元、政府采购工程支出</w:t>
      </w:r>
      <w:r>
        <w:rPr>
          <w:rFonts w:hint="eastAsia" w:ascii="Times New Roman" w:hAnsi="Times New Roman" w:eastAsia="方正仿宋_GBK" w:cs="Times New Roman"/>
          <w:color w:val="auto"/>
          <w:sz w:val="32"/>
          <w:szCs w:val="32"/>
          <w:lang w:eastAsia="zh-CN"/>
        </w:rPr>
        <w:t>0万元</w:t>
      </w:r>
      <w:r>
        <w:rPr>
          <w:rFonts w:hint="default" w:ascii="Times New Roman" w:hAnsi="Times New Roman" w:eastAsia="方正仿宋_GBK" w:cs="Times New Roman"/>
          <w:color w:val="auto"/>
          <w:sz w:val="32"/>
          <w:szCs w:val="32"/>
          <w:shd w:val="clear" w:color="auto" w:fill="FFFFFF"/>
        </w:rPr>
        <w:t>、政府采购服务支出</w:t>
      </w:r>
      <w:r>
        <w:rPr>
          <w:rFonts w:hint="default" w:ascii="Times New Roman" w:hAnsi="Times New Roman" w:eastAsia="方正仿宋_GBK" w:cs="Times New Roman"/>
          <w:color w:val="auto"/>
          <w:sz w:val="32"/>
          <w:szCs w:val="32"/>
        </w:rPr>
        <w:t>21</w:t>
      </w:r>
      <w:r>
        <w:rPr>
          <w:rFonts w:hint="eastAsia" w:ascii="Times New Roman" w:hAnsi="Times New Roman" w:eastAsia="方正仿宋_GBK" w:cs="Times New Roman"/>
          <w:color w:val="auto"/>
          <w:sz w:val="32"/>
          <w:szCs w:val="32"/>
          <w:lang w:eastAsia="zh-CN"/>
        </w:rPr>
        <w:t>0万元</w:t>
      </w:r>
      <w:r>
        <w:rPr>
          <w:rFonts w:hint="default" w:ascii="Times New Roman" w:hAnsi="Times New Roman" w:eastAsia="方正仿宋_GBK" w:cs="Times New Roman"/>
          <w:color w:val="auto"/>
          <w:sz w:val="32"/>
          <w:szCs w:val="32"/>
          <w:shd w:val="clear" w:color="auto" w:fill="FFFFFF"/>
        </w:rPr>
        <w:t>。授予中小企业合同金额</w:t>
      </w:r>
      <w:r>
        <w:rPr>
          <w:rFonts w:hint="default" w:ascii="Times New Roman" w:hAnsi="Times New Roman" w:eastAsia="方正仿宋_GBK" w:cs="Times New Roman"/>
          <w:color w:val="auto"/>
          <w:sz w:val="32"/>
          <w:szCs w:val="32"/>
        </w:rPr>
        <w:t>1.8万</w:t>
      </w:r>
      <w:r>
        <w:rPr>
          <w:rFonts w:hint="default" w:ascii="Times New Roman" w:hAnsi="Times New Roman" w:eastAsia="方正仿宋_GBK" w:cs="Times New Roman"/>
          <w:color w:val="auto"/>
          <w:sz w:val="32"/>
          <w:szCs w:val="32"/>
          <w:shd w:val="clear" w:color="auto" w:fill="FFFFFF"/>
        </w:rPr>
        <w:t>元，占政府采购支出总额的</w:t>
      </w:r>
      <w:r>
        <w:rPr>
          <w:rFonts w:hint="default" w:ascii="Times New Roman" w:hAnsi="Times New Roman" w:eastAsia="方正仿宋_GBK" w:cs="Times New Roman"/>
          <w:color w:val="auto"/>
          <w:sz w:val="32"/>
          <w:szCs w:val="32"/>
        </w:rPr>
        <w:t>0.85</w:t>
      </w:r>
      <w:r>
        <w:rPr>
          <w:rFonts w:hint="default" w:ascii="Times New Roman" w:hAnsi="Times New Roman" w:eastAsia="方正仿宋_GBK" w:cs="Times New Roman"/>
          <w:color w:val="auto"/>
          <w:sz w:val="32"/>
          <w:szCs w:val="32"/>
          <w:shd w:val="clear" w:color="auto" w:fill="FFFFFF"/>
        </w:rPr>
        <w:t>%，其中：授予小微企业合同金额</w:t>
      </w:r>
      <w:r>
        <w:rPr>
          <w:rFonts w:hint="default" w:ascii="Times New Roman" w:hAnsi="Times New Roman" w:eastAsia="方正仿宋_GBK" w:cs="Times New Roman"/>
          <w:color w:val="auto"/>
          <w:sz w:val="32"/>
          <w:szCs w:val="32"/>
        </w:rPr>
        <w:t>1.8</w:t>
      </w:r>
      <w:r>
        <w:rPr>
          <w:rFonts w:hint="default" w:ascii="Times New Roman" w:hAnsi="Times New Roman" w:eastAsia="方正仿宋_GBK" w:cs="Times New Roman"/>
          <w:color w:val="auto"/>
          <w:sz w:val="32"/>
          <w:szCs w:val="32"/>
          <w:shd w:val="clear" w:color="auto" w:fill="FFFFFF"/>
        </w:rPr>
        <w:t>万元，占政府采购支出总额的</w:t>
      </w:r>
      <w:r>
        <w:rPr>
          <w:rFonts w:hint="default" w:ascii="Times New Roman" w:hAnsi="Times New Roman" w:eastAsia="方正仿宋_GBK" w:cs="Times New Roman"/>
          <w:color w:val="auto"/>
          <w:sz w:val="32"/>
          <w:szCs w:val="32"/>
        </w:rPr>
        <w:t>0.85</w:t>
      </w:r>
      <w:r>
        <w:rPr>
          <w:rFonts w:hint="default" w:ascii="Times New Roman" w:hAnsi="Times New Roman" w:eastAsia="方正仿宋_GBK" w:cs="Times New Roman"/>
          <w:color w:val="auto"/>
          <w:sz w:val="32"/>
          <w:szCs w:val="32"/>
          <w:shd w:val="clear" w:color="auto" w:fill="FFFFFF"/>
        </w:rPr>
        <w:t xml:space="preserve"> %。主要用于采购</w:t>
      </w:r>
      <w:r>
        <w:rPr>
          <w:rFonts w:hint="default" w:ascii="Times New Roman" w:hAnsi="Times New Roman" w:eastAsia="方正仿宋_GBK" w:cs="Times New Roman"/>
          <w:color w:val="auto"/>
          <w:sz w:val="32"/>
          <w:szCs w:val="32"/>
          <w:shd w:val="clear" w:color="auto" w:fill="FFFFFF"/>
          <w:lang w:val="en-US" w:eastAsia="zh-CN"/>
        </w:rPr>
        <w:t>国产电脑</w:t>
      </w:r>
      <w:r>
        <w:rPr>
          <w:rFonts w:hint="default" w:ascii="Times New Roman" w:hAnsi="Times New Roman" w:eastAsia="方正仿宋_GBK" w:cs="Times New Roman"/>
          <w:color w:val="auto"/>
          <w:sz w:val="32"/>
          <w:szCs w:val="32"/>
          <w:shd w:val="clear" w:color="auto" w:fill="FFFFFF"/>
        </w:rPr>
        <w:t>。</w:t>
      </w:r>
    </w:p>
    <w:p w14:paraId="7E636141">
      <w:pPr>
        <w:pStyle w:val="12"/>
        <w:keepNext w:val="0"/>
        <w:keepLines w:val="0"/>
        <w:pageBreakBefore w:val="0"/>
        <w:widowControl/>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Style w:val="10"/>
          <w:rFonts w:hint="default" w:ascii="Times New Roman" w:hAnsi="Times New Roman" w:eastAsia="方正黑体_GBK" w:cs="Times New Roman"/>
          <w:b w:val="0"/>
          <w:bCs/>
          <w:color w:val="auto"/>
          <w:sz w:val="32"/>
          <w:szCs w:val="32"/>
          <w:shd w:val="clear" w:color="auto" w:fill="FFFFFF"/>
        </w:rPr>
      </w:pPr>
      <w:r>
        <w:rPr>
          <w:rStyle w:val="10"/>
          <w:rFonts w:hint="default" w:ascii="Times New Roman" w:hAnsi="Times New Roman" w:eastAsia="方正黑体_GBK" w:cs="Times New Roman"/>
          <w:b w:val="0"/>
          <w:bCs/>
          <w:color w:val="auto"/>
          <w:sz w:val="32"/>
          <w:szCs w:val="32"/>
          <w:shd w:val="clear" w:color="auto" w:fill="FFFFFF"/>
        </w:rPr>
        <w:t>五、2024年度预算绩效管理情况说明</w:t>
      </w:r>
    </w:p>
    <w:p w14:paraId="44ECBF53">
      <w:pPr>
        <w:pStyle w:val="12"/>
        <w:keepNext w:val="0"/>
        <w:keepLines w:val="0"/>
        <w:pageBreakBefore w:val="0"/>
        <w:widowControl/>
        <w:shd w:val="clear"/>
        <w:kinsoku/>
        <w:wordWrap/>
        <w:overflowPunct/>
        <w:topLinePunct w:val="0"/>
        <w:autoSpaceDE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（一）单位自评情况</w:t>
      </w:r>
    </w:p>
    <w:p w14:paraId="5826B7DF">
      <w:pPr>
        <w:pStyle w:val="16"/>
        <w:keepNext w:val="0"/>
        <w:keepLines w:val="0"/>
        <w:pageBreakBefore w:val="0"/>
        <w:widowControl/>
        <w:shd w:val="clear"/>
        <w:tabs>
          <w:tab w:val="center" w:pos="4153"/>
          <w:tab w:val="left" w:pos="7275"/>
        </w:tabs>
        <w:kinsoku/>
        <w:wordWrap/>
        <w:overflowPunct/>
        <w:topLinePunct w:val="0"/>
        <w:autoSpaceDN/>
        <w:bidi w:val="0"/>
        <w:adjustRightInd/>
        <w:spacing w:beforeAutospacing="0" w:afterAutospacing="0" w:line="600" w:lineRule="exact"/>
        <w:ind w:firstLine="640"/>
        <w:jc w:val="both"/>
        <w:textAlignment w:val="auto"/>
        <w:rPr>
          <w:rStyle w:val="13"/>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rPr>
        <w:t>根据预算绩效管理要求，我局对部门整体和</w:t>
      </w:r>
      <w:r>
        <w:rPr>
          <w:rFonts w:hint="default" w:ascii="Times New Roman" w:hAnsi="Times New Roman" w:eastAsia="方正仿宋_GBK" w:cs="Times New Roman"/>
          <w:color w:val="auto"/>
          <w:sz w:val="32"/>
          <w:szCs w:val="32"/>
          <w:lang w:val="en-US" w:eastAsia="zh-CN"/>
        </w:rPr>
        <w:t>13</w:t>
      </w:r>
      <w:r>
        <w:rPr>
          <w:rFonts w:hint="default" w:ascii="Times New Roman" w:hAnsi="Times New Roman" w:eastAsia="方正仿宋_GBK" w:cs="Times New Roman"/>
          <w:color w:val="auto"/>
          <w:sz w:val="32"/>
          <w:szCs w:val="32"/>
        </w:rPr>
        <w:t>个项目开展了绩效自评，其中，以填报目标自评表形式开展自评</w:t>
      </w:r>
      <w:r>
        <w:rPr>
          <w:rFonts w:hint="default" w:ascii="Times New Roman" w:hAnsi="Times New Roman" w:eastAsia="方正仿宋_GBK" w:cs="Times New Roman"/>
          <w:color w:val="auto"/>
          <w:sz w:val="32"/>
          <w:szCs w:val="32"/>
          <w:lang w:val="en-US" w:eastAsia="zh-CN"/>
        </w:rPr>
        <w:t>13</w:t>
      </w:r>
      <w:r>
        <w:rPr>
          <w:rFonts w:hint="default" w:ascii="Times New Roman" w:hAnsi="Times New Roman" w:eastAsia="方正仿宋_GBK" w:cs="Times New Roman"/>
          <w:color w:val="auto"/>
          <w:sz w:val="32"/>
          <w:szCs w:val="32"/>
        </w:rPr>
        <w:t>项，涉及资金1108.85万元。</w:t>
      </w:r>
    </w:p>
    <w:p w14:paraId="71362C1E">
      <w:pPr>
        <w:pStyle w:val="12"/>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0"/>
          <w:rFonts w:hint="default" w:ascii="Times New Roman" w:hAnsi="Times New Roman" w:eastAsia="方正黑体_GBK" w:cs="Times New Roman"/>
          <w:b w:val="0"/>
          <w:bCs/>
          <w:color w:val="auto"/>
          <w:sz w:val="32"/>
          <w:szCs w:val="32"/>
          <w:shd w:val="clear" w:color="auto" w:fill="FFFFFF"/>
        </w:rPr>
        <w:t>六、专业名词解释</w:t>
      </w:r>
    </w:p>
    <w:p w14:paraId="3450C202">
      <w:pPr>
        <w:pStyle w:val="16"/>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楷体_GBK" w:cs="Times New Roman"/>
          <w:color w:val="auto"/>
          <w:sz w:val="32"/>
          <w:szCs w:val="32"/>
          <w:shd w:val="clear" w:color="auto" w:fill="FFFFFF"/>
        </w:rPr>
        <w:t>（一）财政拨款收入：</w:t>
      </w:r>
      <w:r>
        <w:rPr>
          <w:rFonts w:hint="default" w:ascii="Times New Roman" w:hAnsi="Times New Roman" w:eastAsia="方正仿宋_GBK" w:cs="Times New Roman"/>
          <w:color w:val="auto"/>
          <w:sz w:val="32"/>
          <w:szCs w:val="32"/>
          <w:shd w:val="clear" w:color="auto" w:fill="FFFFFF"/>
        </w:rPr>
        <w:t>指本年度从本级财政部门取得的财政拨款，包括一般公共预算财政拨款和政府性基金预算财政拨款。</w:t>
      </w:r>
    </w:p>
    <w:p w14:paraId="4DF95BA5">
      <w:pPr>
        <w:pStyle w:val="16"/>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楷体_GBK" w:cs="Times New Roman"/>
          <w:color w:val="auto"/>
          <w:sz w:val="32"/>
          <w:szCs w:val="32"/>
          <w:shd w:val="clear" w:color="auto" w:fill="FFFFFF"/>
        </w:rPr>
        <w:t>（二）其他收入：</w:t>
      </w:r>
      <w:r>
        <w:rPr>
          <w:rFonts w:hint="default" w:ascii="Times New Roman" w:hAnsi="Times New Roman" w:eastAsia="方正仿宋_GBK" w:cs="Times New Roman"/>
          <w:color w:val="auto"/>
          <w:sz w:val="32"/>
          <w:szCs w:val="32"/>
          <w:shd w:val="clear" w:color="auto" w:fill="FFFFFF"/>
        </w:rPr>
        <w:t>指单位取得的除“财政拨款收入”、“事业收入”、“经营收入”等以外的收入。</w:t>
      </w:r>
    </w:p>
    <w:p w14:paraId="0FD22B86">
      <w:pPr>
        <w:pStyle w:val="16"/>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楷体_GBK" w:cs="Times New Roman"/>
          <w:color w:val="auto"/>
          <w:sz w:val="32"/>
          <w:szCs w:val="32"/>
          <w:shd w:val="clear" w:color="auto" w:fill="FFFFFF"/>
        </w:rPr>
        <w:t>（三）基本支出：</w:t>
      </w:r>
      <w:r>
        <w:rPr>
          <w:rFonts w:hint="default" w:ascii="Times New Roman" w:hAnsi="Times New Roman" w:eastAsia="方正仿宋_GBK" w:cs="Times New Roman"/>
          <w:color w:val="auto"/>
          <w:sz w:val="32"/>
          <w:szCs w:val="32"/>
          <w:shd w:val="clear" w:color="auto" w:fill="FFFFFF"/>
        </w:rPr>
        <w:t>指为保障机构正常运转、完成日常工作任务而发生的人员经费和公用经费。</w:t>
      </w:r>
    </w:p>
    <w:p w14:paraId="5CA70F59">
      <w:pPr>
        <w:pStyle w:val="16"/>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楷体_GBK" w:cs="Times New Roman"/>
          <w:color w:val="auto"/>
          <w:sz w:val="32"/>
          <w:szCs w:val="32"/>
          <w:shd w:val="clear" w:color="auto" w:fill="FFFFFF"/>
        </w:rPr>
        <w:t>（四）项目支出：</w:t>
      </w:r>
      <w:r>
        <w:rPr>
          <w:rFonts w:hint="default" w:ascii="Times New Roman" w:hAnsi="Times New Roman" w:eastAsia="方正仿宋_GBK" w:cs="Times New Roman"/>
          <w:color w:val="auto"/>
          <w:sz w:val="32"/>
          <w:szCs w:val="32"/>
          <w:shd w:val="clear" w:color="auto" w:fill="FFFFFF"/>
        </w:rPr>
        <w:t>指在基本支出之外为完成特定行政任务和事业发展目标所发生的支出。</w:t>
      </w:r>
    </w:p>
    <w:p w14:paraId="230AB87C">
      <w:pPr>
        <w:pStyle w:val="16"/>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楷体_GBK" w:cs="Times New Roman"/>
          <w:color w:val="auto"/>
          <w:sz w:val="32"/>
          <w:szCs w:val="32"/>
          <w:shd w:val="clear" w:color="auto" w:fill="FFFFFF"/>
        </w:rPr>
        <w:t>（五）“三公”经费：</w:t>
      </w:r>
      <w:r>
        <w:rPr>
          <w:rFonts w:hint="default" w:ascii="Times New Roman" w:hAnsi="Times New Roman" w:eastAsia="方正仿宋_GBK" w:cs="Times New Roman"/>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86CB76F">
      <w:pPr>
        <w:pStyle w:val="16"/>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jc w:val="both"/>
        <w:textAlignment w:val="auto"/>
        <w:rPr>
          <w:rFonts w:hint="default" w:ascii="Times New Roman" w:hAnsi="Times New Roman" w:eastAsia="方正楷体_GBK" w:cs="Times New Roman"/>
          <w:color w:val="auto"/>
          <w:sz w:val="32"/>
          <w:szCs w:val="32"/>
          <w:shd w:val="clear" w:color="auto" w:fill="FFFFFF"/>
          <w:lang w:eastAsia="zh-CN"/>
        </w:rPr>
      </w:pPr>
      <w:r>
        <w:rPr>
          <w:rFonts w:hint="default" w:ascii="Times New Roman" w:hAnsi="Times New Roman" w:eastAsia="方正楷体_GBK" w:cs="Times New Roman"/>
          <w:color w:val="auto"/>
          <w:sz w:val="32"/>
          <w:szCs w:val="32"/>
          <w:shd w:val="clear" w:color="auto" w:fill="FFFFFF"/>
        </w:rPr>
        <w:t>（六）项目支出涉及的功能科目（项级）：</w:t>
      </w:r>
    </w:p>
    <w:p w14:paraId="5E94CBE8">
      <w:pPr>
        <w:pStyle w:val="16"/>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1.行政运行：反映行政单位（包括实行公务员管理的事业单位）的基本支出。</w:t>
      </w:r>
    </w:p>
    <w:p w14:paraId="07B59765">
      <w:pPr>
        <w:pStyle w:val="16"/>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2.事业运行：反映事业单位的基本支出，不包括行政单位（包括实行公务员管理的事业单位）后勤服务中心、医疗室等附属事业单位。</w:t>
      </w:r>
    </w:p>
    <w:p w14:paraId="1C0C9AE1">
      <w:pPr>
        <w:pStyle w:val="16"/>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3.机关事业单位基本养老保险缴费支出：反映机关事业单位实施养老保险制度由单位实际缴纳的基本养老保险费支出。</w:t>
      </w:r>
    </w:p>
    <w:p w14:paraId="20C34FB8">
      <w:pPr>
        <w:pStyle w:val="16"/>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4.机关事业单位职业年金缴费支出：反映机关事业单位实施养老保险制度由单位实际缴纳的职业年金支出。</w:t>
      </w:r>
    </w:p>
    <w:p w14:paraId="72DAE4CA">
      <w:pPr>
        <w:pStyle w:val="16"/>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5.行政单位医疗：反映财政部门安排的行政单位（包括实行公务员管理的事业单位，下同）基本医疗保险缴费经费，未参加医疗保险的行政单位的公费医疗经费，按国家规定享受离休人员、红军老战士待遇人员的医疗经费。</w:t>
      </w:r>
    </w:p>
    <w:p w14:paraId="2F45A05F">
      <w:pPr>
        <w:pStyle w:val="16"/>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6.事业单位医疗：反映财政部门安排的事业单位基本医疗保险缴费经费，未参加医疗保险的事业单位的公费医疗经费</w:t>
      </w:r>
      <w:bookmarkStart w:id="0" w:name="_GoBack"/>
      <w:bookmarkEnd w:id="0"/>
      <w:r>
        <w:rPr>
          <w:rFonts w:hint="default" w:ascii="Times New Roman" w:hAnsi="Times New Roman" w:eastAsia="方正仿宋_GBK" w:cs="Times New Roman"/>
          <w:color w:val="auto"/>
          <w:sz w:val="32"/>
          <w:szCs w:val="32"/>
          <w:shd w:val="clear" w:color="auto" w:fill="FFFFFF"/>
        </w:rPr>
        <w:t>，按国家规定享受离休人员待遇的医疗经费。</w:t>
      </w:r>
    </w:p>
    <w:p w14:paraId="42BAEA8E">
      <w:pPr>
        <w:pStyle w:val="16"/>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7.住房公积金：反映行政事业单位按人力资源和社会保障部、财政部规定的基本工资和津贴补贴以及规定比例为职工缴纳的住房公积金。</w:t>
      </w:r>
    </w:p>
    <w:p w14:paraId="65C8DAA4">
      <w:pPr>
        <w:pStyle w:val="16"/>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8.购房补贴：反映按房改政策规定，行政事业单位向符合条件职工（含离退休人员）、军队（含武警）向转役复员离退休人员发放的用于购买住房的补贴。</w:t>
      </w:r>
    </w:p>
    <w:p w14:paraId="43EC6C8D">
      <w:pPr>
        <w:pStyle w:val="16"/>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9.行政单位离退休：反映行政单位（包括实行公务员管理的事业单位）开支的离退休经费。</w:t>
      </w:r>
    </w:p>
    <w:p w14:paraId="3243D27B">
      <w:pPr>
        <w:pStyle w:val="16"/>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10.安全监管：反映安全生产监管方面的支出。</w:t>
      </w:r>
    </w:p>
    <w:p w14:paraId="099E8280">
      <w:pPr>
        <w:pStyle w:val="16"/>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11.应急管理：反映用于应急管理的法律法规制定修订，应急预案演练、协调保障等方面的支出。</w:t>
      </w:r>
    </w:p>
    <w:p w14:paraId="5918ABB0">
      <w:pPr>
        <w:pStyle w:val="16"/>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12.应急救援：反映安全生产、自然灾害应急救援方面的支出。</w:t>
      </w:r>
    </w:p>
    <w:p w14:paraId="343ACBBA">
      <w:pPr>
        <w:pStyle w:val="16"/>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13.其他灾害防治及应急管理支出：反映除上述项目以外其他用于灾害防治及应急管理的支出。</w:t>
      </w:r>
    </w:p>
    <w:p w14:paraId="1DDB2215">
      <w:pPr>
        <w:pStyle w:val="16"/>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14.其他应急管理支出：反映除上述项目外的其他应急管理方面的支出。</w:t>
      </w:r>
    </w:p>
    <w:p w14:paraId="51C2D369">
      <w:pPr>
        <w:pStyle w:val="16"/>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15.其他自然灾害救灾及恢复重建支出：反映除上述项目以外其他用于自然灾害救灾、灾后恢复重建等方面的支出。</w:t>
      </w:r>
    </w:p>
    <w:p w14:paraId="47C56AB1">
      <w:pPr>
        <w:pStyle w:val="16"/>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16.其他自然灾害防治支出：反映除上述项目以外其他用于自然灾害防治的支出。</w:t>
      </w:r>
    </w:p>
    <w:p w14:paraId="1C02D896">
      <w:pPr>
        <w:pStyle w:val="16"/>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17.自然灾害救灾补助：反映洪水、地质灾害、台风等自然灾害救灾补助，扑救森林草原火灾补助。</w:t>
      </w:r>
    </w:p>
    <w:p w14:paraId="0FE44BF6">
      <w:pPr>
        <w:pStyle w:val="12"/>
        <w:keepNext w:val="0"/>
        <w:keepLines w:val="0"/>
        <w:pageBreakBefore w:val="0"/>
        <w:widowControl/>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0"/>
          <w:rFonts w:hint="default" w:ascii="Times New Roman" w:hAnsi="Times New Roman" w:eastAsia="方正黑体_GBK" w:cs="Times New Roman"/>
          <w:b w:val="0"/>
          <w:bCs/>
          <w:color w:val="auto"/>
          <w:sz w:val="32"/>
          <w:szCs w:val="32"/>
          <w:shd w:val="clear" w:color="auto" w:fill="FFFFFF"/>
        </w:rPr>
        <w:t>七、决算公开联系方式及信息反馈渠道</w:t>
      </w:r>
    </w:p>
    <w:p w14:paraId="41D85F56">
      <w:pPr>
        <w:pStyle w:val="16"/>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本单位决算公开信息反馈和联系方式：</w:t>
      </w:r>
    </w:p>
    <w:p w14:paraId="2A4FD897">
      <w:pPr>
        <w:pStyle w:val="16"/>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jc w:val="both"/>
        <w:textAlignment w:val="auto"/>
        <w:rPr>
          <w:rFonts w:hint="default" w:cs="宋体"/>
          <w:sz w:val="18"/>
          <w:szCs w:val="18"/>
        </w:rPr>
      </w:pPr>
      <w:r>
        <w:rPr>
          <w:rFonts w:hint="default" w:ascii="Times New Roman" w:hAnsi="Times New Roman" w:eastAsia="方正仿宋_GBK" w:cs="Times New Roman"/>
          <w:color w:val="auto"/>
          <w:sz w:val="32"/>
          <w:szCs w:val="32"/>
          <w:shd w:val="clear" w:color="auto" w:fill="FFFFFF"/>
          <w:lang w:val="en-US" w:eastAsia="zh-CN"/>
        </w:rPr>
        <w:t>左思迪</w:t>
      </w:r>
      <w:r>
        <w:rPr>
          <w:rFonts w:hint="default" w:ascii="Times New Roman" w:hAnsi="Times New Roman" w:eastAsia="方正仿宋_GBK" w:cs="Times New Roman"/>
          <w:color w:val="auto"/>
          <w:sz w:val="32"/>
          <w:szCs w:val="32"/>
          <w:shd w:val="clear" w:color="auto" w:fill="FFFFFF"/>
        </w:rPr>
        <w:t xml:space="preserve">   023-</w:t>
      </w:r>
      <w:r>
        <w:rPr>
          <w:rFonts w:hint="default" w:ascii="Times New Roman" w:hAnsi="Times New Roman" w:eastAsia="方正仿宋_GBK" w:cs="Times New Roman"/>
          <w:color w:val="auto"/>
          <w:sz w:val="32"/>
          <w:szCs w:val="32"/>
          <w:shd w:val="clear" w:color="auto" w:fill="FFFFFF"/>
          <w:lang w:val="en-US" w:eastAsia="zh-CN"/>
        </w:rPr>
        <w:t>63837511</w:t>
      </w:r>
    </w:p>
    <w:sectPr>
      <w:headerReference r:id="rId3" w:type="default"/>
      <w:footerReference r:id="rId4" w:type="default"/>
      <w:pgSz w:w="11850" w:h="16783"/>
      <w:pgMar w:top="1814" w:right="1446" w:bottom="1644" w:left="1446"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FD18F">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198149C4">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0330614F">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E06E4">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76A06"/>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233C8"/>
    <w:rsid w:val="00634FA8"/>
    <w:rsid w:val="0063613A"/>
    <w:rsid w:val="0068170B"/>
    <w:rsid w:val="006E2034"/>
    <w:rsid w:val="00732392"/>
    <w:rsid w:val="00792285"/>
    <w:rsid w:val="007A0D2E"/>
    <w:rsid w:val="007A3314"/>
    <w:rsid w:val="007B419D"/>
    <w:rsid w:val="007C5C5B"/>
    <w:rsid w:val="00810F13"/>
    <w:rsid w:val="00813C3E"/>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43824"/>
    <w:rsid w:val="00BF5A85"/>
    <w:rsid w:val="00C307F6"/>
    <w:rsid w:val="00C96B11"/>
    <w:rsid w:val="00C97747"/>
    <w:rsid w:val="00CC6B99"/>
    <w:rsid w:val="00D611DC"/>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BF1226"/>
    <w:rsid w:val="03077B2E"/>
    <w:rsid w:val="03B87EA0"/>
    <w:rsid w:val="03E3214F"/>
    <w:rsid w:val="044C50BA"/>
    <w:rsid w:val="05BC6D49"/>
    <w:rsid w:val="05C22DEE"/>
    <w:rsid w:val="06194FF1"/>
    <w:rsid w:val="062B7A2D"/>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EDB39C9"/>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4F71BA0"/>
    <w:rsid w:val="163A6CEE"/>
    <w:rsid w:val="173708E3"/>
    <w:rsid w:val="174C19C7"/>
    <w:rsid w:val="17C374FC"/>
    <w:rsid w:val="189079DC"/>
    <w:rsid w:val="189B0D0B"/>
    <w:rsid w:val="18AF03BF"/>
    <w:rsid w:val="18B43F7C"/>
    <w:rsid w:val="194A1770"/>
    <w:rsid w:val="19B906A4"/>
    <w:rsid w:val="19FB026E"/>
    <w:rsid w:val="1A83227D"/>
    <w:rsid w:val="1B0D4E3F"/>
    <w:rsid w:val="1B6F15B6"/>
    <w:rsid w:val="1BAA2EDC"/>
    <w:rsid w:val="1C5C0973"/>
    <w:rsid w:val="1CA55E64"/>
    <w:rsid w:val="1D014A01"/>
    <w:rsid w:val="1D022362"/>
    <w:rsid w:val="1D1B04B0"/>
    <w:rsid w:val="1D6534C4"/>
    <w:rsid w:val="1DBD6767"/>
    <w:rsid w:val="1DC52125"/>
    <w:rsid w:val="1DD26311"/>
    <w:rsid w:val="1E374ACB"/>
    <w:rsid w:val="1E5E27E3"/>
    <w:rsid w:val="1EA33588"/>
    <w:rsid w:val="1EAA1AE8"/>
    <w:rsid w:val="1EB57761"/>
    <w:rsid w:val="1ECF0A66"/>
    <w:rsid w:val="1EF67CA4"/>
    <w:rsid w:val="1F020D3A"/>
    <w:rsid w:val="1F2C5189"/>
    <w:rsid w:val="1F30765A"/>
    <w:rsid w:val="1F4B0B02"/>
    <w:rsid w:val="1FBB35CD"/>
    <w:rsid w:val="1FCD26AF"/>
    <w:rsid w:val="20642787"/>
    <w:rsid w:val="21556F04"/>
    <w:rsid w:val="22403BD3"/>
    <w:rsid w:val="23DA37D9"/>
    <w:rsid w:val="24B92327"/>
    <w:rsid w:val="24C14514"/>
    <w:rsid w:val="2533755C"/>
    <w:rsid w:val="25791755"/>
    <w:rsid w:val="26396DF4"/>
    <w:rsid w:val="26A739B6"/>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60C66"/>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05283D"/>
    <w:rsid w:val="531A2DB4"/>
    <w:rsid w:val="53C0244D"/>
    <w:rsid w:val="53DD4D4E"/>
    <w:rsid w:val="53E578CE"/>
    <w:rsid w:val="541330F0"/>
    <w:rsid w:val="54272666"/>
    <w:rsid w:val="542B279D"/>
    <w:rsid w:val="543B029D"/>
    <w:rsid w:val="544C3364"/>
    <w:rsid w:val="54861779"/>
    <w:rsid w:val="552256E1"/>
    <w:rsid w:val="554E5773"/>
    <w:rsid w:val="555A3CBC"/>
    <w:rsid w:val="5582012B"/>
    <w:rsid w:val="558E4E05"/>
    <w:rsid w:val="559E1B78"/>
    <w:rsid w:val="55BE2E85"/>
    <w:rsid w:val="55D82B6C"/>
    <w:rsid w:val="561D52C4"/>
    <w:rsid w:val="5651697D"/>
    <w:rsid w:val="56530F5D"/>
    <w:rsid w:val="56692AE5"/>
    <w:rsid w:val="567700D3"/>
    <w:rsid w:val="56FF7E9E"/>
    <w:rsid w:val="578867FC"/>
    <w:rsid w:val="5842572D"/>
    <w:rsid w:val="59486D73"/>
    <w:rsid w:val="594B1686"/>
    <w:rsid w:val="5A3B59D6"/>
    <w:rsid w:val="5AD134D8"/>
    <w:rsid w:val="5B6503B1"/>
    <w:rsid w:val="5C0F7EC4"/>
    <w:rsid w:val="5C263CE4"/>
    <w:rsid w:val="5C5D2777"/>
    <w:rsid w:val="5CF66BF3"/>
    <w:rsid w:val="5D290C69"/>
    <w:rsid w:val="5D6567A1"/>
    <w:rsid w:val="5F2D4A41"/>
    <w:rsid w:val="602C5AD0"/>
    <w:rsid w:val="60C74F6C"/>
    <w:rsid w:val="61025A59"/>
    <w:rsid w:val="613D5BBC"/>
    <w:rsid w:val="61536C39"/>
    <w:rsid w:val="61E64F4A"/>
    <w:rsid w:val="621875D0"/>
    <w:rsid w:val="623E0993"/>
    <w:rsid w:val="62944DD7"/>
    <w:rsid w:val="6319381F"/>
    <w:rsid w:val="63236436"/>
    <w:rsid w:val="63C25DC5"/>
    <w:rsid w:val="63C62057"/>
    <w:rsid w:val="64571EF5"/>
    <w:rsid w:val="64CB0157"/>
    <w:rsid w:val="64FB113D"/>
    <w:rsid w:val="65036946"/>
    <w:rsid w:val="654A25FE"/>
    <w:rsid w:val="656152C6"/>
    <w:rsid w:val="657F1D6E"/>
    <w:rsid w:val="6587477F"/>
    <w:rsid w:val="658C3A08"/>
    <w:rsid w:val="65C031CA"/>
    <w:rsid w:val="65CE6852"/>
    <w:rsid w:val="66267C04"/>
    <w:rsid w:val="663F505A"/>
    <w:rsid w:val="66967186"/>
    <w:rsid w:val="66A734D2"/>
    <w:rsid w:val="66EE5541"/>
    <w:rsid w:val="67924660"/>
    <w:rsid w:val="683200C2"/>
    <w:rsid w:val="68407834"/>
    <w:rsid w:val="6883293E"/>
    <w:rsid w:val="688412AD"/>
    <w:rsid w:val="68EB1B71"/>
    <w:rsid w:val="69475C96"/>
    <w:rsid w:val="69F119F4"/>
    <w:rsid w:val="6AAD2300"/>
    <w:rsid w:val="6B474EF5"/>
    <w:rsid w:val="6BBF53FD"/>
    <w:rsid w:val="6C560CAE"/>
    <w:rsid w:val="6C576495"/>
    <w:rsid w:val="6CFE043F"/>
    <w:rsid w:val="6D903FF5"/>
    <w:rsid w:val="6DA955B8"/>
    <w:rsid w:val="6DE346AB"/>
    <w:rsid w:val="6DE5391A"/>
    <w:rsid w:val="6EFD1324"/>
    <w:rsid w:val="6F5A53AC"/>
    <w:rsid w:val="6FAC003D"/>
    <w:rsid w:val="6FB75641"/>
    <w:rsid w:val="6FE55E12"/>
    <w:rsid w:val="6FFB2E76"/>
    <w:rsid w:val="708F6F7F"/>
    <w:rsid w:val="70D94BD3"/>
    <w:rsid w:val="71520131"/>
    <w:rsid w:val="71C34D91"/>
    <w:rsid w:val="72DB435C"/>
    <w:rsid w:val="72E2613A"/>
    <w:rsid w:val="72F771F4"/>
    <w:rsid w:val="730076A1"/>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185AC6"/>
    <w:rsid w:val="7B420052"/>
    <w:rsid w:val="7B861484"/>
    <w:rsid w:val="7BD06A28"/>
    <w:rsid w:val="7C3A7C0B"/>
    <w:rsid w:val="7C5248E4"/>
    <w:rsid w:val="7C566698"/>
    <w:rsid w:val="7C5866A3"/>
    <w:rsid w:val="7CBE2F89"/>
    <w:rsid w:val="7D7406BB"/>
    <w:rsid w:val="7DE94331"/>
    <w:rsid w:val="7E5466AC"/>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5881</Words>
  <Characters>6525</Characters>
  <Lines>191</Lines>
  <Paragraphs>53</Paragraphs>
  <TotalTime>0</TotalTime>
  <ScaleCrop>false</ScaleCrop>
  <LinksUpToDate>false</LinksUpToDate>
  <CharactersWithSpaces>6571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左思迪</cp:lastModifiedBy>
  <dcterms:modified xsi:type="dcterms:W3CDTF">2025-10-16T06:23:53Z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eyJoZGlkIjoiNWFhYjUyZDIyMzliOWQ5MjAyY2ZlMmUxNzJhZDliZjIiLCJ1c2VySWQiOiI3MjY5NTAyNTYifQ==</vt:lpwstr>
  </property>
</Properties>
</file>