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28D18">
      <w:pPr>
        <w:pStyle w:val="2"/>
        <w:spacing w:before="184" w:line="190" w:lineRule="auto"/>
        <w:ind w:right="0" w:rightChars="0"/>
        <w:jc w:val="center"/>
        <w:outlineLvl w:val="0"/>
        <w:rPr>
          <w:rFonts w:ascii="Arial"/>
          <w:sz w:val="21"/>
        </w:rPr>
      </w:pPr>
      <w:r>
        <w:rPr>
          <w:rFonts w:hint="eastAsia" w:ascii="Times New Roman" w:hAnsi="Times New Roman" w:eastAsia="方正小标宋_GBK" w:cs="华文中宋"/>
          <w:snapToGrid/>
          <w:spacing w:val="-10"/>
          <w:kern w:val="2"/>
          <w:sz w:val="44"/>
          <w:szCs w:val="44"/>
          <w:lang w:val="en-US" w:eastAsia="zh-CN" w:bidi="ar-SA"/>
        </w:rPr>
        <w:t>重庆市中医骨科医院2026年单位预算情况说明</w:t>
      </w:r>
    </w:p>
    <w:p w14:paraId="4819588C">
      <w:pPr>
        <w:spacing w:line="312" w:lineRule="auto"/>
        <w:rPr>
          <w:rFonts w:ascii="Arial"/>
          <w:sz w:val="21"/>
        </w:rPr>
      </w:pPr>
    </w:p>
    <w:p w14:paraId="3893BB11">
      <w:pPr>
        <w:widowControl w:val="0"/>
        <w:kinsoku/>
        <w:autoSpaceDE/>
        <w:autoSpaceDN/>
        <w:adjustRightInd/>
        <w:snapToGrid/>
        <w:spacing w:line="600"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一、单位基本情况</w:t>
      </w:r>
    </w:p>
    <w:p w14:paraId="20ACCEB6">
      <w:pPr>
        <w:widowControl w:val="0"/>
        <w:kinsoku/>
        <w:autoSpaceDE/>
        <w:autoSpaceDN/>
        <w:adjustRightInd/>
        <w:snapToGrid/>
        <w:spacing w:line="600" w:lineRule="exact"/>
        <w:ind w:firstLine="640" w:firstLineChars="200"/>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（一）职能职责</w:t>
      </w:r>
    </w:p>
    <w:p w14:paraId="61AAACF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仿宋_GB2312"/>
          <w:snapToGrid/>
          <w:color w:val="000000"/>
          <w:kern w:val="10"/>
          <w:sz w:val="32"/>
          <w:szCs w:val="22"/>
          <w:lang w:val="en-US" w:eastAsia="zh-CN" w:bidi="ar-SA"/>
        </w:rPr>
      </w:pPr>
      <w:r>
        <w:rPr>
          <w:rFonts w:hint="eastAsia" w:ascii="Times New Roman" w:hAnsi="Times New Roman" w:eastAsia="方正仿宋_GBK" w:cs="仿宋_GB2312"/>
          <w:snapToGrid/>
          <w:color w:val="000000"/>
          <w:kern w:val="10"/>
          <w:sz w:val="32"/>
          <w:szCs w:val="22"/>
          <w:lang w:val="en-US" w:eastAsia="zh-CN" w:bidi="ar-SA"/>
        </w:rPr>
        <w:t>重庆市中医骨科医院为渝中区卫生健康委员会所属的公益    二类事业单位。主要职责是： 1.负责提供中医骨科等方面的临床、 医疗、护理、预防、保健和康复服务， 承担医疗救护与意外突发事故现象救急； 2.负责全区重要会议和重大活动的医疗卫生保障工作，承担保健对象的医疗保健工作； 3.负责突发公共卫生事件监测预警、风险评估和处置等卫生应急工作； 4.负责全区医疗质量控制管理； 5.负责指导街道社区卫生服务中心等医疗机构的中医药服务健康管理工作； 6.负责中医骨伤等中医药制剂的研发、生产、销售；  7.负责开展医学实习教学、进修培训、科研和新技术推广； 8. 负责征兵等健康体检工作； 9.完成上级交办的其他工作任务。</w:t>
      </w:r>
    </w:p>
    <w:p w14:paraId="5035C0B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（二）单位构成</w:t>
      </w:r>
    </w:p>
    <w:p w14:paraId="3C4EE0B3">
      <w:pPr>
        <w:pStyle w:val="2"/>
        <w:keepNext w:val="0"/>
        <w:keepLines w:val="0"/>
        <w:pageBreakBefore w:val="0"/>
        <w:wordWrap/>
        <w:overflowPunct/>
        <w:topLinePunct w:val="0"/>
        <w:bidi w:val="0"/>
        <w:spacing w:before="226" w:line="594" w:lineRule="exact"/>
        <w:ind w:right="220" w:firstLine="624"/>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仿宋_GB2312"/>
          <w:snapToGrid/>
          <w:kern w:val="10"/>
          <w:sz w:val="32"/>
          <w:szCs w:val="22"/>
          <w:lang w:val="en-US" w:eastAsia="zh-CN" w:bidi="ar-SA"/>
        </w:rPr>
        <w:t>单位内设 20个职能科室， 包括党委办公室、行政办公室、纪检室、审计科、财务科、质控科（三甲办）、医务科（病案室）、护理部、院感科、科教科、信息科、医保科、医学装备科、后勤保障科、保卫科、公共卫生科、运营绩效办公室、对外联络办公室、教务科、储奇门— 较场口办公室。设有28个临床科室， 包括筋伤科、康复科、针灸科、推拿科、 颈胸椎科、腰椎科、脊柱微创科、骨关节科、运动医学科、足踝 外科、创伤骨科、小儿骨科、正骨科、急诊重症医学科、内科（ 老年病科）、麻醉科、门诊部、治未病科、口腔科、肛肠科、中医内科、中医外科、妇科、皮肤科、耳鼻喉科、 眼科、体检中心、机关卫生所。</w:t>
      </w:r>
    </w:p>
    <w:p w14:paraId="77D890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二、单位收支总体情况</w:t>
      </w:r>
    </w:p>
    <w:p w14:paraId="270B4A0F">
      <w:pPr>
        <w:pStyle w:val="2"/>
        <w:keepNext w:val="0"/>
        <w:keepLines w:val="0"/>
        <w:pageBreakBefore w:val="0"/>
        <w:wordWrap/>
        <w:overflowPunct/>
        <w:topLinePunct w:val="0"/>
        <w:bidi w:val="0"/>
        <w:spacing w:before="226" w:line="594" w:lineRule="exact"/>
        <w:ind w:right="220" w:firstLine="624"/>
        <w:rPr>
          <w:rFonts w:hint="eastAsia" w:ascii="方正楷体_GBK" w:hAnsi="方正楷体_GBK" w:eastAsia="方正楷体_GBK" w:cs="方正楷体_GBK"/>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（一）收入预算：</w:t>
      </w:r>
      <w:r>
        <w:rPr>
          <w:rFonts w:hint="eastAsia" w:ascii="Times New Roman" w:hAnsi="Times New Roman" w:eastAsia="方正仿宋_GBK" w:cs="仿宋_GB2312"/>
          <w:snapToGrid/>
          <w:kern w:val="10"/>
          <w:sz w:val="32"/>
          <w:szCs w:val="22"/>
          <w:lang w:val="en-US" w:eastAsia="zh-CN" w:bidi="ar-SA"/>
        </w:rPr>
        <w:t>2026年年初预算数 20954.45万元， 其中： 一般公共预算收入 3602.4万元，政府性基金预算收入 0万元， 国有资本经营预算收入 0 万元， 事业收入 17352.05万元，事业单位经营收入 0万元， 其他收入 0万元。收入较 2025年增加13159.55万元，主要是一般公共预算收入增加484.42万元， 政府性基金预算收入减少 0万元，事业预算收入增加12675.13万元。</w:t>
      </w:r>
    </w:p>
    <w:p w14:paraId="6332A9D3">
      <w:pPr>
        <w:pStyle w:val="2"/>
        <w:keepNext w:val="0"/>
        <w:keepLines w:val="0"/>
        <w:pageBreakBefore w:val="0"/>
        <w:wordWrap/>
        <w:overflowPunct/>
        <w:topLinePunct w:val="0"/>
        <w:bidi w:val="0"/>
        <w:spacing w:before="226" w:line="594" w:lineRule="exact"/>
        <w:ind w:right="220" w:firstLine="624"/>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（二）支出预算：</w:t>
      </w:r>
      <w:r>
        <w:rPr>
          <w:rFonts w:hint="eastAsia" w:ascii="Times New Roman" w:hAnsi="Times New Roman" w:eastAsia="方正仿宋_GBK" w:cs="仿宋_GB2312"/>
          <w:snapToGrid/>
          <w:kern w:val="10"/>
          <w:sz w:val="32"/>
          <w:szCs w:val="22"/>
          <w:lang w:val="en-US" w:eastAsia="zh-CN" w:bidi="ar-SA"/>
        </w:rPr>
        <w:t>2026年年初预算数 20954.45万元，其中：一般公共服务支出预算 0 万元， 教育支出预算 0 万元， 社会保障和就业支出预算 1212.92万元，卫生健康支出预算19543.76万元，住房保障支出预算 197.77万元。支出预算较 2025年增加13159.55万元， 主要是基本支出预算增加569.27万元， 项目支出预算增加12590.28万元。</w:t>
      </w:r>
    </w:p>
    <w:p w14:paraId="5491893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三、单位预算情况说明</w:t>
      </w:r>
    </w:p>
    <w:p w14:paraId="4A32FE5D">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Times New Roman"/>
          <w:snapToGrid/>
          <w:kern w:val="2"/>
          <w:sz w:val="32"/>
          <w:szCs w:val="22"/>
          <w:lang w:val="en-US" w:eastAsia="zh-CN" w:bidi="ar-SA"/>
        </w:rPr>
        <w:t>2026年一般公共预算财政拨款收入3602.4 万元， 一般公共 预算财政拨款支出3602.4万元，比 2025年增加484.42万元。其中 ：基本支出 3491.62万元，比 2025年增加569.27万元， 主要原因是人员变动，主要用于保障在职人员工资福利及社会保险缴费，离休人员离休费，退休人员补助；项目支出110.78万元，比2025年减少84.85万元</w:t>
      </w:r>
      <w:r>
        <w:rPr>
          <w:rFonts w:hint="eastAsia" w:ascii="Times New Roman" w:hAnsi="Times New Roman" w:eastAsia="方正仿宋_GBK" w:cs="仿宋_GB2312"/>
          <w:snapToGrid/>
          <w:kern w:val="10"/>
          <w:sz w:val="32"/>
          <w:szCs w:val="22"/>
          <w:lang w:val="en-US" w:eastAsia="zh-CN" w:bidi="ar-SA"/>
        </w:rPr>
        <w:t>。</w:t>
      </w:r>
    </w:p>
    <w:p w14:paraId="6849EC58">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u w:val="none"/>
          <w:lang w:val="en-US" w:eastAsia="zh-CN" w:bidi="ar-SA"/>
        </w:rPr>
      </w:pPr>
      <w:r>
        <w:rPr>
          <w:rFonts w:hint="eastAsia" w:ascii="Times New Roman" w:hAnsi="Times New Roman" w:eastAsia="方正仿宋_GBK"/>
          <w:sz w:val="32"/>
          <w:lang w:eastAsia="zh-CN"/>
        </w:rPr>
        <w:t>202</w:t>
      </w:r>
      <w:r>
        <w:rPr>
          <w:rFonts w:hint="eastAsia" w:ascii="Times New Roman" w:hAnsi="Times New Roman" w:eastAsia="方正仿宋_GBK"/>
          <w:sz w:val="32"/>
          <w:lang w:val="en-US" w:eastAsia="zh-CN"/>
        </w:rPr>
        <w:t>6</w:t>
      </w:r>
      <w:r>
        <w:rPr>
          <w:rFonts w:hint="eastAsia" w:ascii="Times New Roman" w:hAnsi="Times New Roman" w:eastAsia="方正仿宋_GBK"/>
          <w:sz w:val="32"/>
        </w:rPr>
        <w:t>年政府性基金预算收入</w:t>
      </w:r>
      <w:r>
        <w:rPr>
          <w:rFonts w:hint="eastAsia" w:ascii="Times New Roman" w:hAnsi="Times New Roman" w:eastAsia="方正仿宋_GBK"/>
          <w:sz w:val="32"/>
          <w:lang w:val="en-US" w:eastAsia="zh-CN"/>
        </w:rPr>
        <w:t xml:space="preserve"> 0</w:t>
      </w:r>
      <w:r>
        <w:rPr>
          <w:rFonts w:hint="eastAsia" w:ascii="Times New Roman" w:hAnsi="Times New Roman" w:eastAsia="方正仿宋_GBK"/>
          <w:sz w:val="32"/>
        </w:rPr>
        <w:t xml:space="preserve">万元，政府性基金预算支出 </w:t>
      </w:r>
      <w:r>
        <w:rPr>
          <w:rFonts w:hint="eastAsia" w:ascii="Times New Roman" w:hAnsi="Times New Roman" w:eastAsia="方正仿宋_GBK"/>
          <w:sz w:val="32"/>
          <w:lang w:val="en-US" w:eastAsia="zh-CN"/>
        </w:rPr>
        <w:t>0</w:t>
      </w:r>
      <w:r>
        <w:rPr>
          <w:rFonts w:hint="eastAsia" w:ascii="Times New Roman" w:hAnsi="Times New Roman" w:eastAsia="方正仿宋_GBK"/>
          <w:sz w:val="32"/>
        </w:rPr>
        <w:t>万元，主要原因是</w:t>
      </w:r>
      <w:r>
        <w:rPr>
          <w:rFonts w:hint="eastAsia" w:ascii="Times New Roman" w:hAnsi="Times New Roman" w:eastAsia="方正仿宋_GBK"/>
          <w:sz w:val="32"/>
          <w:u w:val="none"/>
          <w:lang w:eastAsia="zh-CN"/>
        </w:rPr>
        <w:t>202</w:t>
      </w:r>
      <w:r>
        <w:rPr>
          <w:rFonts w:hint="eastAsia" w:ascii="Times New Roman" w:hAnsi="Times New Roman" w:eastAsia="方正仿宋_GBK"/>
          <w:sz w:val="32"/>
          <w:u w:val="none"/>
          <w:lang w:val="en-US" w:eastAsia="zh-CN"/>
        </w:rPr>
        <w:t>6</w:t>
      </w:r>
      <w:r>
        <w:rPr>
          <w:rFonts w:hint="eastAsia" w:ascii="Times New Roman" w:hAnsi="Times New Roman" w:eastAsia="方正仿宋_GBK"/>
          <w:sz w:val="32"/>
          <w:u w:val="none"/>
        </w:rPr>
        <w:t>年无使用政府性基金预算拨款安排的支出</w:t>
      </w:r>
      <w:r>
        <w:rPr>
          <w:rFonts w:hint="eastAsia" w:ascii="Times New Roman" w:hAnsi="Times New Roman" w:eastAsia="方正仿宋_GBK"/>
          <w:sz w:val="32"/>
          <w:u w:val="none"/>
          <w:lang w:eastAsia="zh-CN"/>
        </w:rPr>
        <w:t>。</w:t>
      </w:r>
    </w:p>
    <w:p w14:paraId="5145376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四、“三公”经费情况说明</w:t>
      </w:r>
    </w:p>
    <w:p w14:paraId="6A447155">
      <w:pPr>
        <w:pStyle w:val="2"/>
        <w:keepNext w:val="0"/>
        <w:keepLines w:val="0"/>
        <w:pageBreakBefore w:val="0"/>
        <w:wordWrap/>
        <w:overflowPunct/>
        <w:topLinePunct w:val="0"/>
        <w:bidi w:val="0"/>
        <w:spacing w:before="228" w:line="594" w:lineRule="exact"/>
        <w:ind w:left="16" w:right="33" w:firstLine="616"/>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仿宋_GB2312"/>
          <w:snapToGrid/>
          <w:kern w:val="10"/>
          <w:sz w:val="32"/>
          <w:szCs w:val="22"/>
          <w:lang w:val="en-US" w:eastAsia="zh-CN" w:bidi="ar-SA"/>
        </w:rPr>
        <w:t>2026年“三公”经费预算 0万元，与 2025年持平。其中 ： 因公出国（境）费用 0万元，与 2025年持平；公务接待费 0 万元，与 2025 年持平；公务用车运行维护费 0万元，与2025 年持平； 公务用车购置费 0万元，与 2025 年持平。</w:t>
      </w:r>
    </w:p>
    <w:p w14:paraId="1734AA2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五、其他重要事项的情况说明</w:t>
      </w:r>
    </w:p>
    <w:p w14:paraId="0A926E20">
      <w:pPr>
        <w:pStyle w:val="2"/>
        <w:keepNext w:val="0"/>
        <w:keepLines w:val="0"/>
        <w:pageBreakBefore w:val="0"/>
        <w:wordWrap/>
        <w:overflowPunct/>
        <w:topLinePunct w:val="0"/>
        <w:bidi w:val="0"/>
        <w:spacing w:before="364" w:line="594" w:lineRule="exact"/>
        <w:ind w:right="52" w:firstLine="640" w:firstLineChars="200"/>
        <w:rPr>
          <w:kern w:val="10"/>
        </w:rPr>
      </w:pPr>
      <w:r>
        <w:rPr>
          <w:rFonts w:hint="eastAsia" w:ascii="方正楷体_GBK" w:hAnsi="方正楷体_GBK" w:eastAsia="方正楷体_GBK" w:cs="方正楷体_GBK"/>
          <w:snapToGrid/>
          <w:kern w:val="10"/>
          <w:sz w:val="32"/>
          <w:szCs w:val="22"/>
          <w:lang w:val="en-US" w:eastAsia="zh-CN" w:bidi="ar-SA"/>
        </w:rPr>
        <w:t>（一）机关运行经费。</w:t>
      </w:r>
      <w:r>
        <w:rPr>
          <w:rFonts w:hint="eastAsia" w:ascii="Times New Roman" w:hAnsi="Times New Roman" w:eastAsia="方正仿宋_GBK" w:cs="仿宋_GB2312"/>
          <w:snapToGrid/>
          <w:kern w:val="10"/>
          <w:sz w:val="32"/>
          <w:szCs w:val="22"/>
          <w:lang w:val="en-US" w:eastAsia="zh-CN" w:bidi="ar-SA"/>
        </w:rPr>
        <w:t>我单位不在机关运行经费统计范围之内。</w:t>
      </w:r>
    </w:p>
    <w:p w14:paraId="0B09D722">
      <w:pPr>
        <w:pStyle w:val="2"/>
        <w:keepNext w:val="0"/>
        <w:keepLines w:val="0"/>
        <w:pageBreakBefore w:val="0"/>
        <w:wordWrap/>
        <w:overflowPunct/>
        <w:topLinePunct w:val="0"/>
        <w:bidi w:val="0"/>
        <w:spacing w:before="325" w:line="594" w:lineRule="exact"/>
        <w:ind w:firstLine="640" w:firstLineChars="200"/>
        <w:rPr>
          <w:rFonts w:hint="eastAsia" w:ascii="Times New Roman" w:hAnsi="Times New Roman" w:eastAsia="方正仿宋_GBK" w:cs="仿宋_GB2312"/>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（二）政府采购情况。</w:t>
      </w:r>
      <w:r>
        <w:rPr>
          <w:rFonts w:hint="eastAsia" w:ascii="Times New Roman" w:hAnsi="Times New Roman" w:eastAsia="方正仿宋_GBK" w:cs="仿宋_GB2312"/>
          <w:snapToGrid/>
          <w:kern w:val="10"/>
          <w:sz w:val="32"/>
          <w:szCs w:val="22"/>
          <w:lang w:val="en-US" w:eastAsia="zh-CN" w:bidi="ar-SA"/>
        </w:rPr>
        <w:t>本单位政府采购预算总额17352.05万元：政府采购货物预算11726.05万元、政府采购工程预算0万元、政府采购服务预算5626.0万元；其中一般公共预算拨款政府采购0万元：政府采购货物预算 0万元、政府采购工程预算 0万元、政府采购服务预算 0万元。</w:t>
      </w:r>
    </w:p>
    <w:p w14:paraId="4C906FC3">
      <w:pPr>
        <w:pStyle w:val="2"/>
        <w:keepNext w:val="0"/>
        <w:keepLines w:val="0"/>
        <w:pageBreakBefore w:val="0"/>
        <w:wordWrap/>
        <w:overflowPunct/>
        <w:topLinePunct w:val="0"/>
        <w:bidi w:val="0"/>
        <w:spacing w:before="325" w:line="594" w:lineRule="exact"/>
        <w:ind w:firstLine="640" w:firstLineChars="200"/>
        <w:rPr>
          <w:rFonts w:hint="eastAsia" w:ascii="Times New Roman" w:hAnsi="Times New Roman" w:eastAsia="方正仿宋_GBK" w:cs="Times New Roman"/>
          <w:snapToGrid/>
          <w:kern w:val="2"/>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（三）绩效目标设置情况 。</w:t>
      </w:r>
      <w:r>
        <w:rPr>
          <w:rFonts w:hint="eastAsia" w:ascii="Times New Roman" w:hAnsi="Times New Roman" w:eastAsia="方正仿宋_GBK" w:cs="Times New Roman"/>
          <w:snapToGrid/>
          <w:kern w:val="2"/>
          <w:sz w:val="32"/>
          <w:szCs w:val="32"/>
          <w:lang w:val="en-US" w:eastAsia="zh-CN" w:bidi="ar-SA"/>
        </w:rPr>
        <w:t>2026年项目支出均实行了绩效</w:t>
      </w:r>
      <w:bookmarkStart w:id="0" w:name="_GoBack"/>
      <w:bookmarkEnd w:id="0"/>
      <w:r>
        <w:rPr>
          <w:rFonts w:hint="eastAsia" w:ascii="Times New Roman" w:hAnsi="Times New Roman" w:eastAsia="方正仿宋_GBK" w:cs="Times New Roman"/>
          <w:snapToGrid/>
          <w:kern w:val="2"/>
          <w:sz w:val="32"/>
          <w:szCs w:val="32"/>
          <w:lang w:val="en-US" w:eastAsia="zh-CN" w:bidi="ar-SA"/>
        </w:rPr>
        <w:t>目标管理，涉及一般公共预算财政拨款110.78万元。</w:t>
      </w:r>
    </w:p>
    <w:p w14:paraId="5C9D6DCB">
      <w:pPr>
        <w:pStyle w:val="2"/>
        <w:keepNext w:val="0"/>
        <w:keepLines w:val="0"/>
        <w:pageBreakBefore w:val="0"/>
        <w:wordWrap/>
        <w:overflowPunct/>
        <w:topLinePunct w:val="0"/>
        <w:bidi w:val="0"/>
        <w:spacing w:before="325" w:line="594" w:lineRule="exact"/>
        <w:ind w:firstLine="640" w:firstLineChars="200"/>
        <w:rPr>
          <w:rFonts w:ascii="Arial"/>
          <w:kern w:val="10"/>
          <w:sz w:val="21"/>
        </w:rPr>
      </w:pPr>
      <w:r>
        <w:rPr>
          <w:rFonts w:hint="eastAsia" w:ascii="方正楷体_GBK" w:hAnsi="方正楷体_GBK" w:eastAsia="方正楷体_GBK" w:cs="方正楷体_GBK"/>
          <w:snapToGrid/>
          <w:kern w:val="10"/>
          <w:sz w:val="32"/>
          <w:szCs w:val="22"/>
          <w:lang w:val="en-US" w:eastAsia="zh-CN" w:bidi="ar-SA"/>
        </w:rPr>
        <w:t>（四）国有资产占有使用情况。</w:t>
      </w:r>
      <w:r>
        <w:rPr>
          <w:rFonts w:hint="eastAsia" w:ascii="Times New Roman" w:hAnsi="Times New Roman" w:eastAsia="方正仿宋_GBK" w:cs="Times New Roman"/>
          <w:snapToGrid/>
          <w:color w:val="000000"/>
          <w:kern w:val="10"/>
          <w:sz w:val="32"/>
          <w:szCs w:val="32"/>
          <w:lang w:val="en-US" w:eastAsia="zh-CN" w:bidi="ar-SA"/>
        </w:rPr>
        <w:t>截止 2025 年 12 月，本单位共有车辆 7 辆，其中一般公务用车0 辆、执勤执法用车 0辆。2026 年一般公共预算安排购置车辆 1 辆， 其中一般公务用车0 辆、执勤执法用车 0 辆。</w:t>
      </w:r>
    </w:p>
    <w:p w14:paraId="0F5EF4FD">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专业性名词解释</w:t>
      </w:r>
    </w:p>
    <w:p w14:paraId="0F37BE6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（一）财政拨款收入：</w:t>
      </w:r>
      <w:r>
        <w:rPr>
          <w:rFonts w:hint="eastAsia" w:ascii="Times New Roman" w:hAnsi="Times New Roman" w:eastAsia="方正仿宋_GBK" w:cs="Times New Roman"/>
          <w:snapToGrid/>
          <w:kern w:val="10"/>
          <w:sz w:val="32"/>
          <w:szCs w:val="32"/>
          <w:lang w:val="en-US" w:eastAsia="zh-CN" w:bidi="ar-SA"/>
        </w:rPr>
        <w:t>指本年度从本级财政部门取得的财政拨款，包括一般公共预算财政拨款和政府性基金预算财政拨款。</w:t>
      </w:r>
    </w:p>
    <w:p w14:paraId="1576A93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（二）其他收入：</w:t>
      </w:r>
      <w:r>
        <w:rPr>
          <w:rFonts w:hint="eastAsia" w:ascii="Times New Roman" w:hAnsi="Times New Roman" w:eastAsia="方正仿宋_GBK" w:cs="Times New Roman"/>
          <w:snapToGrid/>
          <w:kern w:val="10"/>
          <w:sz w:val="32"/>
          <w:szCs w:val="32"/>
          <w:lang w:val="en-US" w:eastAsia="zh-CN" w:bidi="ar-SA"/>
        </w:rPr>
        <w:t>指单位取得的除“财政拨款收入”、“事业收入”、“经营收入”等以外的收入。</w:t>
      </w:r>
    </w:p>
    <w:p w14:paraId="3F26F1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（三）基本支出</w:t>
      </w:r>
      <w:r>
        <w:rPr>
          <w:rFonts w:hint="eastAsia" w:ascii="Times New Roman" w:hAnsi="Times New Roman" w:eastAsia="方正黑体_GBK" w:cs="仿宋_GB2312"/>
          <w:snapToGrid/>
          <w:kern w:val="10"/>
          <w:sz w:val="32"/>
          <w:szCs w:val="22"/>
          <w:lang w:eastAsia="zh-CN"/>
        </w:rPr>
        <w:t>：</w:t>
      </w:r>
      <w:r>
        <w:rPr>
          <w:rFonts w:hint="eastAsia" w:ascii="Times New Roman" w:hAnsi="Times New Roman" w:eastAsia="方正仿宋_GBK" w:cs="Times New Roman"/>
          <w:snapToGrid/>
          <w:kern w:val="10"/>
          <w:sz w:val="32"/>
          <w:szCs w:val="32"/>
          <w:lang w:val="en-US" w:eastAsia="zh-CN" w:bidi="ar-SA"/>
        </w:rPr>
        <w:t>指为保障机构正常运转、完成日常工作任务而发生的人员经费和公用经费。</w:t>
      </w:r>
    </w:p>
    <w:p w14:paraId="19648D2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（四）项目支出：</w:t>
      </w:r>
      <w:r>
        <w:rPr>
          <w:rFonts w:hint="eastAsia" w:ascii="Times New Roman" w:hAnsi="Times New Roman" w:eastAsia="方正仿宋_GBK" w:cs="Times New Roman"/>
          <w:snapToGrid/>
          <w:kern w:val="10"/>
          <w:sz w:val="32"/>
          <w:szCs w:val="32"/>
          <w:lang w:val="en-US" w:eastAsia="zh-CN" w:bidi="ar-SA"/>
        </w:rPr>
        <w:t>指在基本支出之外为完成特定行政任务和事业发展目标所发生的支出。</w:t>
      </w:r>
    </w:p>
    <w:p w14:paraId="427A12F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（五）“三公”经费：</w:t>
      </w:r>
      <w:r>
        <w:rPr>
          <w:rFonts w:hint="eastAsia" w:ascii="Times New Roman" w:hAnsi="Times New Roman" w:eastAsia="方正仿宋_GBK" w:cs="Times New Roman"/>
          <w:snapToGrid/>
          <w:kern w:val="1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C9956D">
      <w:pPr>
        <w:pStyle w:val="2"/>
        <w:keepNext w:val="0"/>
        <w:keepLines w:val="0"/>
        <w:pageBreakBefore w:val="0"/>
        <w:wordWrap/>
        <w:overflowPunct/>
        <w:topLinePunct w:val="0"/>
        <w:bidi w:val="0"/>
        <w:spacing w:before="190" w:line="594" w:lineRule="exact"/>
        <w:ind w:left="646"/>
        <w:rPr>
          <w:rFonts w:hint="eastAsia" w:ascii="Times New Roman" w:hAnsi="Times New Roman" w:eastAsia="方正仿宋_GBK" w:cs="仿宋_GB2312"/>
          <w:b/>
          <w:snapToGrid/>
          <w:kern w:val="2"/>
          <w:sz w:val="32"/>
          <w:szCs w:val="22"/>
          <w:lang w:val="en-US" w:eastAsia="zh-CN" w:bidi="ar-SA"/>
        </w:rPr>
      </w:pPr>
      <w:r>
        <w:rPr>
          <w:rFonts w:hint="eastAsia" w:ascii="Times New Roman" w:hAnsi="Times New Roman" w:eastAsia="方正仿宋_GBK" w:cs="仿宋_GB2312"/>
          <w:b/>
          <w:snapToGrid/>
          <w:kern w:val="2"/>
          <w:sz w:val="32"/>
          <w:szCs w:val="22"/>
          <w:lang w:val="en-US" w:eastAsia="zh-CN" w:bidi="ar-SA"/>
        </w:rPr>
        <w:t>单位预算公开联系人：杨喻杰  联系方式：023-63938838</w:t>
      </w:r>
    </w:p>
    <w:sectPr>
      <w:headerReference r:id="rId5" w:type="default"/>
      <w:footerReference r:id="rId6" w:type="default"/>
      <w:pgSz w:w="11907" w:h="16839"/>
      <w:pgMar w:top="1984" w:right="1526" w:bottom="1644" w:left="1446" w:header="0" w:footer="14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7724">
    <w:pPr>
      <w:spacing w:line="176" w:lineRule="auto"/>
      <w:jc w:val="both"/>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13"/>
        <w:sz w:val="28"/>
        <w:szCs w:val="28"/>
      </w:rPr>
      <w:t xml:space="preserve"> </w:t>
    </w:r>
    <w:r>
      <w:rPr>
        <w:rFonts w:hint="eastAsia" w:ascii="Times New Roman" w:hAnsi="Times New Roman" w:eastAsia="宋体" w:cs="Times New Roman"/>
        <w:spacing w:val="13"/>
        <w:sz w:val="28"/>
        <w:szCs w:val="28"/>
        <w:lang w:val="en-US" w:eastAsia="zh-CN"/>
      </w:rPr>
      <w:t>4</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9"/>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B794">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C9B7A"/>
    <w:multiLevelType w:val="singleLevel"/>
    <w:tmpl w:val="DB6C9B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EwNWY2ZTQ3YWQxNTNlYmQxNGZkMjUxYjE1MWQ3ZWYifQ=="/>
  </w:docVars>
  <w:rsids>
    <w:rsidRoot w:val="00000000"/>
    <w:rsid w:val="04682076"/>
    <w:rsid w:val="10CA1701"/>
    <w:rsid w:val="13C92BD3"/>
    <w:rsid w:val="1F256087"/>
    <w:rsid w:val="288616DD"/>
    <w:rsid w:val="2C055B92"/>
    <w:rsid w:val="30D31A8A"/>
    <w:rsid w:val="3989682C"/>
    <w:rsid w:val="3BD27743"/>
    <w:rsid w:val="3D8D0380"/>
    <w:rsid w:val="3DB048D3"/>
    <w:rsid w:val="4855474B"/>
    <w:rsid w:val="4C1324F3"/>
    <w:rsid w:val="4C56255A"/>
    <w:rsid w:val="4DBF79F2"/>
    <w:rsid w:val="4F195165"/>
    <w:rsid w:val="5B553162"/>
    <w:rsid w:val="5C48324C"/>
    <w:rsid w:val="5EE766F3"/>
    <w:rsid w:val="67291F48"/>
    <w:rsid w:val="692D7E38"/>
    <w:rsid w:val="6C924007"/>
    <w:rsid w:val="713054FE"/>
    <w:rsid w:val="788B32D9"/>
    <w:rsid w:val="7A9D1F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1883</Words>
  <Characters>2107</Characters>
  <TotalTime>20</TotalTime>
  <ScaleCrop>false</ScaleCrop>
  <LinksUpToDate>false</LinksUpToDate>
  <CharactersWithSpaces>2204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2024-02-20T16:21:00Z</dcterms:created>
  <dc:creator>Administrator</dc:creator>
  <cp:lastModifiedBy>刘毅</cp:lastModifiedBy>
  <cp:lastPrinted>2025-02-11T03:12:00Z</cp:lastPrinted>
  <dcterms:modified xsi:type="dcterms:W3CDTF">2026-02-12T04:53:08Z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2024-02-21T15:52:26Z</vt:filetime>
  </property>
  <property fmtid="{D5CDD505-2E9C-101B-9397-08002B2CF9AE}" pid="4" name="KSOProductBuildVer">
    <vt:lpwstr>2052-12.1.0.23542</vt:lpwstr>
  </property>
  <property fmtid="{D5CDD505-2E9C-101B-9397-08002B2CF9AE}" pid="5" name="ICV">
    <vt:lpwstr>FC072A696E2B4482AD0D8F8D69E710CF_12</vt:lpwstr>
  </property>
  <property fmtid="{D5CDD505-2E9C-101B-9397-08002B2CF9AE}" pid="6" name="KSOTemplateDocerSaveRecord">
    <vt:lpwstr>eyJoZGlkIjoiMWJkYzEyOGY1NzhhYmVkNDc0ZmU2MzM3MjQ1MDQ1MTAiLCJ1c2VySWQiOiIxNTg0MzI5ODgyIn0=</vt:lpwstr>
  </property>
</Properties>
</file>