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idowControl w:val="0"/>
        <w:spacing w:line="540" w:lineRule="exact"/>
        <w:jc w:val="center"/>
        <w:rPr>
          <w:rStyle w:val="10"/>
          <w:rFonts w:ascii="Times New Roman" w:hAnsi="方正小标宋_GBK" w:eastAsia="方正小标宋_GBK" w:cs="Times New Roman"/>
          <w:b w:val="0"/>
          <w:kern w:val="2"/>
          <w:sz w:val="44"/>
          <w:szCs w:val="44"/>
          <w:shd w:val="clear" w:color="auto" w:fill="FFFFFF"/>
        </w:rPr>
      </w:pPr>
    </w:p>
    <w:p>
      <w:pPr>
        <w:pStyle w:val="12"/>
        <w:widowControl w:val="0"/>
        <w:spacing w:line="540" w:lineRule="exact"/>
        <w:jc w:val="center"/>
        <w:rPr>
          <w:rStyle w:val="10"/>
          <w:rFonts w:ascii="Times New Roman" w:hAnsi="方正小标宋_GBK" w:eastAsia="方正小标宋_GBK" w:cs="Times New Roman"/>
          <w:b w:val="0"/>
          <w:kern w:val="2"/>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重庆市渝中区民政局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关于废止部分部门规范性文件的通知</w:t>
      </w:r>
    </w:p>
    <w:p>
      <w:pPr>
        <w:spacing w:line="596" w:lineRule="exact"/>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w:t>
      </w:r>
      <w:r>
        <w:rPr>
          <w:rFonts w:ascii="方正仿宋_GBK" w:hAnsi="方正仿宋_GBK" w:eastAsia="方正仿宋_GBK" w:cs="方正仿宋_GBK"/>
          <w:sz w:val="32"/>
          <w:szCs w:val="32"/>
        </w:rPr>
        <w:t>街道办事处，</w:t>
      </w:r>
      <w:r>
        <w:rPr>
          <w:rFonts w:hint="eastAsia" w:ascii="方正仿宋_GBK" w:hAnsi="方正仿宋_GBK" w:eastAsia="方正仿宋_GBK" w:cs="方正仿宋_GBK"/>
          <w:sz w:val="32"/>
          <w:szCs w:val="32"/>
        </w:rPr>
        <w:t>各科室</w:t>
      </w:r>
      <w:r>
        <w:rPr>
          <w:rFonts w:ascii="方正仿宋_GBK" w:hAnsi="方正仿宋_GBK" w:eastAsia="方正仿宋_GBK" w:cs="方正仿宋_GBK"/>
          <w:sz w:val="32"/>
          <w:szCs w:val="32"/>
        </w:rPr>
        <w:t>、下属单位</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510"/>
        <w:textAlignment w:val="auto"/>
        <w:rPr>
          <w:rFonts w:ascii="Times New Roman" w:hAnsi="Times New Roman" w:eastAsia="方正仿宋_GBK"/>
          <w:color w:val="000000"/>
          <w:sz w:val="32"/>
          <w:szCs w:val="32"/>
        </w:rPr>
      </w:pPr>
      <w:r>
        <w:rPr>
          <w:rFonts w:hint="eastAsia" w:ascii="方正仿宋_GBK" w:hAnsi="方正仿宋_GBK" w:eastAsia="方正仿宋_GBK" w:cs="方正仿宋_GBK"/>
          <w:sz w:val="32"/>
          <w:szCs w:val="32"/>
        </w:rPr>
        <w:t>根据</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重庆市渝中区人民政府关于印发重庆市渝中区行政规范性文件管理规定的通知</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（渝中府发〔2020〕2号）等有关规定，经局长办公会研究，决定废止《重庆市渝中区民政局关于印发</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渝中区老年人长寿和助养补贴发放办法〉的通知》（渝中民〔2010〕215号</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等5个部门规范</w:t>
      </w:r>
      <w:r>
        <w:rPr>
          <w:rFonts w:ascii="Times New Roman" w:hAnsi="Times New Roman" w:eastAsia="方正仿宋_GBK"/>
          <w:color w:val="000000"/>
          <w:sz w:val="32"/>
          <w:szCs w:val="32"/>
        </w:rPr>
        <w:t>性文件</w:t>
      </w:r>
      <w:r>
        <w:rPr>
          <w:rFonts w:hint="eastAsia" w:ascii="Times New Roman" w:hAnsi="Times New Roman" w:eastAsia="方正仿宋_GBK"/>
          <w:color w:val="000000"/>
          <w:sz w:val="32"/>
          <w:szCs w:val="32"/>
        </w:rPr>
        <w:t>，废止的文件自本通知印</w:t>
      </w:r>
      <w:r>
        <w:rPr>
          <w:rFonts w:ascii="Times New Roman" w:hAnsi="Times New Roman" w:eastAsia="方正仿宋_GBK"/>
          <w:color w:val="000000"/>
          <w:sz w:val="32"/>
          <w:szCs w:val="32"/>
        </w:rPr>
        <w:t>发</w:t>
      </w:r>
      <w:r>
        <w:rPr>
          <w:rFonts w:hint="eastAsia" w:ascii="Times New Roman" w:hAnsi="Times New Roman" w:eastAsia="方正仿宋_GBK"/>
          <w:color w:val="000000"/>
          <w:sz w:val="32"/>
          <w:szCs w:val="32"/>
        </w:rPr>
        <w:t>之日起不再执行。</w:t>
      </w:r>
    </w:p>
    <w:p>
      <w:pPr>
        <w:keepNext w:val="0"/>
        <w:keepLines w:val="0"/>
        <w:pageBreakBefore w:val="0"/>
        <w:widowControl w:val="0"/>
        <w:kinsoku/>
        <w:wordWrap/>
        <w:overflowPunct/>
        <w:topLinePunct w:val="0"/>
        <w:autoSpaceDE/>
        <w:autoSpaceDN/>
        <w:bidi w:val="0"/>
        <w:adjustRightInd/>
        <w:snapToGrid/>
        <w:spacing w:line="600" w:lineRule="exact"/>
        <w:ind w:firstLine="510"/>
        <w:textAlignment w:val="auto"/>
        <w:rPr>
          <w:rFonts w:hint="eastAsia" w:ascii="Times New Roman" w:hAnsi="Times New Roman" w:eastAsia="方正仿宋_GBK"/>
          <w:color w:val="000000"/>
          <w:sz w:val="32"/>
          <w:szCs w:val="32"/>
        </w:rPr>
      </w:pPr>
      <w:r>
        <w:rPr>
          <w:rFonts w:ascii="Times New Roman" w:hAnsi="Times New Roman" w:eastAsia="方正仿宋_GBK"/>
          <w:color w:val="000000"/>
          <w:sz w:val="32"/>
          <w:szCs w:val="32"/>
        </w:rPr>
        <w:t>特此通知</w:t>
      </w:r>
      <w:r>
        <w:rPr>
          <w:rFonts w:hint="eastAsia" w:ascii="Times New Roman" w:hAnsi="Times New Roman" w:eastAsia="方正仿宋_GBK"/>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olor w:val="000000"/>
          <w:sz w:val="32"/>
          <w:szCs w:val="32"/>
        </w:rPr>
      </w:pPr>
    </w:p>
    <w:p>
      <w:pPr>
        <w:keepNext w:val="0"/>
        <w:keepLines w:val="0"/>
        <w:pageBreakBefore w:val="0"/>
        <w:widowControl w:val="0"/>
        <w:tabs>
          <w:tab w:val="center" w:pos="4507"/>
        </w:tabs>
        <w:kinsoku/>
        <w:wordWrap/>
        <w:overflowPunct/>
        <w:topLinePunct w:val="0"/>
        <w:autoSpaceDE/>
        <w:autoSpaceDN/>
        <w:bidi w:val="0"/>
        <w:adjustRightInd/>
        <w:snapToGrid/>
        <w:spacing w:line="600" w:lineRule="exact"/>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    </w:t>
      </w:r>
      <w:r>
        <w:rPr>
          <w:rFonts w:hint="eastAsia" w:ascii="方正黑体_GBK" w:hAnsi="Times New Roman" w:eastAsia="方正黑体_GBK"/>
          <w:color w:val="000000"/>
          <w:sz w:val="32"/>
          <w:szCs w:val="32"/>
        </w:rPr>
        <w:t>附件：</w:t>
      </w:r>
      <w:r>
        <w:rPr>
          <w:rFonts w:hint="eastAsia" w:ascii="Times New Roman" w:hAnsi="Times New Roman" w:eastAsia="方正仿宋_GBK"/>
          <w:color w:val="000000"/>
          <w:sz w:val="32"/>
          <w:szCs w:val="32"/>
        </w:rPr>
        <w:t>废止规范性文件目录</w:t>
      </w:r>
      <w:r>
        <w:rPr>
          <w:rFonts w:hint="eastAsia" w:ascii="Times New Roman" w:hAnsi="Times New Roman" w:eastAsia="方正仿宋_GBK"/>
          <w:color w:val="000000"/>
          <w:sz w:val="32"/>
          <w:szCs w:val="32"/>
        </w:rPr>
        <w:tab/>
      </w:r>
    </w:p>
    <w:p>
      <w:pPr>
        <w:keepNext w:val="0"/>
        <w:keepLines w:val="0"/>
        <w:pageBreakBefore w:val="0"/>
        <w:widowControl w:val="0"/>
        <w:tabs>
          <w:tab w:val="center" w:pos="4507"/>
        </w:tabs>
        <w:kinsoku/>
        <w:wordWrap/>
        <w:overflowPunct/>
        <w:topLinePunct w:val="0"/>
        <w:autoSpaceDE/>
        <w:autoSpaceDN/>
        <w:bidi w:val="0"/>
        <w:adjustRightInd/>
        <w:snapToGrid/>
        <w:spacing w:line="600" w:lineRule="exact"/>
        <w:textAlignment w:val="auto"/>
        <w:rPr>
          <w:rFonts w:ascii="Times New Roman" w:hAnsi="Times New Roman" w:eastAsia="方正仿宋_GBK"/>
          <w:color w:val="000000"/>
          <w:sz w:val="32"/>
          <w:szCs w:val="32"/>
        </w:rPr>
      </w:pPr>
    </w:p>
    <w:p>
      <w:pPr>
        <w:keepNext w:val="0"/>
        <w:keepLines w:val="0"/>
        <w:pageBreakBefore w:val="0"/>
        <w:widowControl w:val="0"/>
        <w:tabs>
          <w:tab w:val="center" w:pos="4507"/>
        </w:tabs>
        <w:kinsoku/>
        <w:wordWrap/>
        <w:overflowPunct/>
        <w:topLinePunct w:val="0"/>
        <w:autoSpaceDE/>
        <w:autoSpaceDN/>
        <w:bidi w:val="0"/>
        <w:adjustRightInd/>
        <w:snapToGrid/>
        <w:spacing w:line="600" w:lineRule="exact"/>
        <w:textAlignment w:val="auto"/>
        <w:rPr>
          <w:rFonts w:hint="eastAsia" w:ascii="Times New Roman" w:hAnsi="Times New Roman" w:eastAsia="方正仿宋_GBK"/>
          <w:color w:val="000000"/>
          <w:sz w:val="32"/>
          <w:szCs w:val="32"/>
        </w:rPr>
      </w:pPr>
    </w:p>
    <w:p>
      <w:pPr>
        <w:keepNext w:val="0"/>
        <w:keepLines w:val="0"/>
        <w:pageBreakBefore w:val="0"/>
        <w:widowControl w:val="0"/>
        <w:tabs>
          <w:tab w:val="center" w:pos="4507"/>
        </w:tabs>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                               重庆市渝中区民政局</w:t>
      </w:r>
    </w:p>
    <w:p>
      <w:pPr>
        <w:keepNext w:val="0"/>
        <w:keepLines w:val="0"/>
        <w:pageBreakBefore w:val="0"/>
        <w:widowControl w:val="0"/>
        <w:tabs>
          <w:tab w:val="center" w:pos="4507"/>
        </w:tabs>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                                2021年3月</w:t>
      </w:r>
      <w:r>
        <w:rPr>
          <w:rFonts w:hint="eastAsia" w:ascii="Times New Roman" w:hAnsi="Times New Roman" w:eastAsia="方正仿宋_GBK"/>
          <w:color w:val="000000"/>
          <w:sz w:val="32"/>
          <w:szCs w:val="32"/>
          <w:lang w:val="en-US" w:eastAsia="zh-CN"/>
        </w:rPr>
        <w:t>30</w:t>
      </w:r>
      <w:bookmarkStart w:id="0" w:name="_GoBack"/>
      <w:bookmarkEnd w:id="0"/>
      <w:r>
        <w:rPr>
          <w:rFonts w:hint="eastAsia" w:ascii="Times New Roman" w:hAnsi="Times New Roman" w:eastAsia="方正仿宋_GBK"/>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pPr>
        <w:tabs>
          <w:tab w:val="center" w:pos="4507"/>
        </w:tabs>
        <w:spacing w:line="596" w:lineRule="exact"/>
        <w:rPr>
          <w:rFonts w:hint="eastAsia" w:ascii="方正黑体_GBK" w:hAnsi="Times New Roman" w:eastAsia="方正黑体_GBK"/>
          <w:color w:val="000000"/>
          <w:sz w:val="32"/>
          <w:szCs w:val="32"/>
        </w:rPr>
      </w:pPr>
      <w:r>
        <w:rPr>
          <w:rFonts w:hint="eastAsia" w:ascii="方正黑体_GBK" w:hAnsi="Times New Roman" w:eastAsia="方正黑体_GBK"/>
          <w:color w:val="000000"/>
          <w:sz w:val="32"/>
          <w:szCs w:val="32"/>
        </w:rPr>
        <w:t>附件</w:t>
      </w:r>
    </w:p>
    <w:p>
      <w:pPr>
        <w:tabs>
          <w:tab w:val="center" w:pos="4507"/>
        </w:tabs>
        <w:spacing w:line="596" w:lineRule="exact"/>
        <w:rPr>
          <w:rFonts w:hint="eastAsia" w:ascii="方正黑体_GBK" w:hAnsi="Times New Roman" w:eastAsia="方正黑体_GBK"/>
          <w:color w:val="000000"/>
          <w:sz w:val="32"/>
          <w:szCs w:val="32"/>
        </w:rPr>
      </w:pPr>
    </w:p>
    <w:p>
      <w:pPr>
        <w:tabs>
          <w:tab w:val="center" w:pos="4507"/>
        </w:tabs>
        <w:spacing w:line="596"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废止规范性文件目录</w:t>
      </w:r>
    </w:p>
    <w:p>
      <w:pPr>
        <w:tabs>
          <w:tab w:val="center" w:pos="4507"/>
        </w:tabs>
        <w:spacing w:line="596" w:lineRule="exact"/>
        <w:jc w:val="center"/>
        <w:rPr>
          <w:rFonts w:hint="eastAsia" w:ascii="方正小标宋_GBK" w:hAnsi="方正小标宋_GBK" w:eastAsia="方正小标宋_GBK" w:cs="方正小标宋_GBK"/>
          <w:color w:val="000000"/>
          <w:sz w:val="44"/>
          <w:szCs w:val="44"/>
        </w:rPr>
      </w:pPr>
    </w:p>
    <w:tbl>
      <w:tblPr>
        <w:tblStyle w:val="8"/>
        <w:tblW w:w="9975" w:type="dxa"/>
        <w:tblInd w:w="-3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4455"/>
        <w:gridCol w:w="2940"/>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noWrap w:val="0"/>
            <w:vAlign w:val="top"/>
          </w:tcPr>
          <w:p>
            <w:pPr>
              <w:tabs>
                <w:tab w:val="center" w:pos="4507"/>
              </w:tabs>
              <w:spacing w:line="596" w:lineRule="exact"/>
              <w:jc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序号</w:t>
            </w:r>
          </w:p>
        </w:tc>
        <w:tc>
          <w:tcPr>
            <w:tcW w:w="4455" w:type="dxa"/>
            <w:noWrap w:val="0"/>
            <w:vAlign w:val="top"/>
          </w:tcPr>
          <w:p>
            <w:pPr>
              <w:tabs>
                <w:tab w:val="center" w:pos="4507"/>
              </w:tabs>
              <w:spacing w:line="596" w:lineRule="exact"/>
              <w:jc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文件名称</w:t>
            </w:r>
          </w:p>
        </w:tc>
        <w:tc>
          <w:tcPr>
            <w:tcW w:w="2940" w:type="dxa"/>
            <w:noWrap w:val="0"/>
            <w:vAlign w:val="top"/>
          </w:tcPr>
          <w:p>
            <w:pPr>
              <w:tabs>
                <w:tab w:val="center" w:pos="4507"/>
              </w:tabs>
              <w:spacing w:line="596" w:lineRule="exact"/>
              <w:jc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文号</w:t>
            </w:r>
          </w:p>
        </w:tc>
        <w:tc>
          <w:tcPr>
            <w:tcW w:w="1455" w:type="dxa"/>
            <w:noWrap w:val="0"/>
            <w:vAlign w:val="top"/>
          </w:tcPr>
          <w:p>
            <w:pPr>
              <w:tabs>
                <w:tab w:val="center" w:pos="4507"/>
              </w:tabs>
              <w:spacing w:line="596" w:lineRule="exact"/>
              <w:jc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noWrap w:val="0"/>
            <w:vAlign w:val="top"/>
          </w:tcPr>
          <w:p>
            <w:pPr>
              <w:tabs>
                <w:tab w:val="center" w:pos="4507"/>
              </w:tabs>
              <w:spacing w:line="596" w:lineRule="exact"/>
              <w:jc w:val="center"/>
              <w:rPr>
                <w:rFonts w:ascii="Times New Roman" w:hAnsi="Times New Roman" w:eastAsia="方正仿宋_GBK"/>
                <w:color w:val="000000"/>
                <w:sz w:val="30"/>
                <w:szCs w:val="30"/>
              </w:rPr>
            </w:pPr>
            <w:r>
              <w:rPr>
                <w:rFonts w:ascii="Times New Roman" w:hAnsi="Times New Roman" w:eastAsia="方正仿宋_GBK"/>
                <w:color w:val="000000"/>
                <w:sz w:val="30"/>
                <w:szCs w:val="30"/>
              </w:rPr>
              <w:t>1</w:t>
            </w:r>
          </w:p>
        </w:tc>
        <w:tc>
          <w:tcPr>
            <w:tcW w:w="4455" w:type="dxa"/>
            <w:noWrap w:val="0"/>
            <w:vAlign w:val="top"/>
          </w:tcPr>
          <w:p>
            <w:pPr>
              <w:tabs>
                <w:tab w:val="center" w:pos="4507"/>
              </w:tabs>
              <w:spacing w:line="36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24"/>
              </w:rPr>
              <w:t xml:space="preserve">重庆市渝中区民政局关于印发《渝中区老年人长寿和助养补贴发放办法》的通知 </w:t>
            </w:r>
          </w:p>
        </w:tc>
        <w:tc>
          <w:tcPr>
            <w:tcW w:w="2940" w:type="dxa"/>
            <w:noWrap w:val="0"/>
            <w:vAlign w:val="top"/>
          </w:tcPr>
          <w:p>
            <w:pPr>
              <w:tabs>
                <w:tab w:val="center" w:pos="4507"/>
              </w:tabs>
              <w:spacing w:line="596" w:lineRule="exact"/>
              <w:jc w:val="center"/>
              <w:rPr>
                <w:rFonts w:ascii="Times New Roman" w:hAnsi="Times New Roman" w:eastAsia="方正仿宋_GBK"/>
                <w:color w:val="000000"/>
                <w:sz w:val="24"/>
              </w:rPr>
            </w:pPr>
            <w:r>
              <w:rPr>
                <w:rFonts w:ascii="Times New Roman" w:hAnsi="Times New Roman" w:eastAsia="方正仿宋_GBK"/>
                <w:color w:val="000000"/>
                <w:sz w:val="24"/>
              </w:rPr>
              <w:t>渝中民〔2010〕215号</w:t>
            </w:r>
          </w:p>
        </w:tc>
        <w:tc>
          <w:tcPr>
            <w:tcW w:w="1455" w:type="dxa"/>
            <w:noWrap w:val="0"/>
            <w:vAlign w:val="top"/>
          </w:tcPr>
          <w:p>
            <w:pPr>
              <w:tabs>
                <w:tab w:val="center" w:pos="4507"/>
              </w:tabs>
              <w:spacing w:line="596" w:lineRule="exact"/>
              <w:rPr>
                <w:rFonts w:hint="eastAsia" w:ascii="方正仿宋_GBK" w:hAnsi="方正仿宋_GBK" w:eastAsia="方正仿宋_GBK" w:cs="方正仿宋_GBK"/>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noWrap w:val="0"/>
            <w:vAlign w:val="top"/>
          </w:tcPr>
          <w:p>
            <w:pPr>
              <w:tabs>
                <w:tab w:val="center" w:pos="4507"/>
              </w:tabs>
              <w:spacing w:line="596" w:lineRule="exact"/>
              <w:jc w:val="center"/>
              <w:rPr>
                <w:rFonts w:ascii="Times New Roman" w:hAnsi="Times New Roman" w:eastAsia="方正仿宋_GBK"/>
                <w:color w:val="000000"/>
                <w:sz w:val="30"/>
                <w:szCs w:val="30"/>
              </w:rPr>
            </w:pPr>
            <w:r>
              <w:rPr>
                <w:rFonts w:ascii="Times New Roman" w:hAnsi="Times New Roman" w:eastAsia="方正仿宋_GBK"/>
                <w:color w:val="000000"/>
                <w:sz w:val="30"/>
                <w:szCs w:val="30"/>
              </w:rPr>
              <w:t>2</w:t>
            </w:r>
          </w:p>
        </w:tc>
        <w:tc>
          <w:tcPr>
            <w:tcW w:w="4455" w:type="dxa"/>
            <w:noWrap w:val="0"/>
            <w:vAlign w:val="top"/>
          </w:tcPr>
          <w:p>
            <w:pPr>
              <w:tabs>
                <w:tab w:val="center" w:pos="4507"/>
              </w:tabs>
              <w:spacing w:line="360" w:lineRule="exact"/>
              <w:rPr>
                <w:rFonts w:hint="eastAsia" w:ascii="方正仿宋_GBK" w:hAnsi="方正仿宋_GBK" w:eastAsia="方正仿宋_GBK" w:cs="方正仿宋_GBK"/>
                <w:color w:val="000000"/>
                <w:sz w:val="32"/>
                <w:szCs w:val="32"/>
              </w:rPr>
            </w:pPr>
            <w:r>
              <w:rPr>
                <w:rFonts w:eastAsia="方正仿宋_GBK"/>
                <w:sz w:val="24"/>
              </w:rPr>
              <w:t>重庆市渝中区民政局 重庆市渝中区财政局关于调整我区重点优抚对象定抚定补金自然增长机制标准的意见</w:t>
            </w:r>
          </w:p>
        </w:tc>
        <w:tc>
          <w:tcPr>
            <w:tcW w:w="2940" w:type="dxa"/>
            <w:noWrap w:val="0"/>
            <w:vAlign w:val="top"/>
          </w:tcPr>
          <w:p>
            <w:pPr>
              <w:tabs>
                <w:tab w:val="center" w:pos="4507"/>
              </w:tabs>
              <w:spacing w:line="596" w:lineRule="exact"/>
              <w:jc w:val="center"/>
              <w:rPr>
                <w:rFonts w:ascii="Times New Roman" w:hAnsi="Times New Roman" w:eastAsia="方正仿宋_GBK"/>
                <w:color w:val="000000"/>
                <w:sz w:val="24"/>
              </w:rPr>
            </w:pPr>
            <w:r>
              <w:rPr>
                <w:rFonts w:ascii="Times New Roman" w:hAnsi="Times New Roman" w:eastAsia="方正仿宋_GBK"/>
                <w:sz w:val="24"/>
              </w:rPr>
              <w:t>渝中民〔2011〕62号</w:t>
            </w:r>
          </w:p>
        </w:tc>
        <w:tc>
          <w:tcPr>
            <w:tcW w:w="1455" w:type="dxa"/>
            <w:noWrap w:val="0"/>
            <w:vAlign w:val="top"/>
          </w:tcPr>
          <w:p>
            <w:pPr>
              <w:tabs>
                <w:tab w:val="center" w:pos="4507"/>
              </w:tabs>
              <w:spacing w:line="596" w:lineRule="exact"/>
              <w:rPr>
                <w:rFonts w:hint="eastAsia" w:ascii="方正仿宋_GBK" w:hAnsi="方正仿宋_GBK" w:eastAsia="方正仿宋_GBK" w:cs="方正仿宋_GBK"/>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noWrap w:val="0"/>
            <w:vAlign w:val="top"/>
          </w:tcPr>
          <w:p>
            <w:pPr>
              <w:tabs>
                <w:tab w:val="center" w:pos="4507"/>
              </w:tabs>
              <w:spacing w:line="596" w:lineRule="exact"/>
              <w:jc w:val="center"/>
              <w:rPr>
                <w:rFonts w:ascii="Times New Roman" w:hAnsi="Times New Roman" w:eastAsia="方正仿宋_GBK"/>
                <w:color w:val="000000"/>
                <w:sz w:val="30"/>
                <w:szCs w:val="30"/>
              </w:rPr>
            </w:pPr>
            <w:r>
              <w:rPr>
                <w:rFonts w:ascii="Times New Roman" w:hAnsi="Times New Roman" w:eastAsia="方正仿宋_GBK"/>
                <w:color w:val="000000"/>
                <w:sz w:val="30"/>
                <w:szCs w:val="30"/>
              </w:rPr>
              <w:t>3</w:t>
            </w:r>
          </w:p>
        </w:tc>
        <w:tc>
          <w:tcPr>
            <w:tcW w:w="4455" w:type="dxa"/>
            <w:noWrap w:val="0"/>
            <w:vAlign w:val="top"/>
          </w:tcPr>
          <w:p>
            <w:pPr>
              <w:tabs>
                <w:tab w:val="left" w:pos="1770"/>
              </w:tabs>
              <w:spacing w:line="360" w:lineRule="exact"/>
              <w:jc w:val="left"/>
              <w:rPr>
                <w:rFonts w:hint="eastAsia" w:ascii="方正仿宋_GBK" w:hAnsi="方正仿宋_GBK" w:eastAsia="方正仿宋_GBK" w:cs="方正仿宋_GBK"/>
                <w:color w:val="000000"/>
                <w:sz w:val="32"/>
                <w:szCs w:val="32"/>
              </w:rPr>
            </w:pPr>
            <w:r>
              <w:rPr>
                <w:rFonts w:eastAsia="方正仿宋_GBK"/>
                <w:sz w:val="24"/>
              </w:rPr>
              <w:t>重庆市渝中区民政局关于印发《渝中区社区社会组织备案管理规范》的通知</w:t>
            </w:r>
          </w:p>
        </w:tc>
        <w:tc>
          <w:tcPr>
            <w:tcW w:w="2940" w:type="dxa"/>
            <w:noWrap w:val="0"/>
            <w:vAlign w:val="top"/>
          </w:tcPr>
          <w:p>
            <w:pPr>
              <w:tabs>
                <w:tab w:val="center" w:pos="4507"/>
              </w:tabs>
              <w:spacing w:line="596" w:lineRule="exact"/>
              <w:jc w:val="center"/>
              <w:rPr>
                <w:rFonts w:ascii="Times New Roman" w:hAnsi="Times New Roman" w:eastAsia="方正仿宋_GBK"/>
                <w:color w:val="000000"/>
                <w:sz w:val="24"/>
              </w:rPr>
            </w:pPr>
            <w:r>
              <w:rPr>
                <w:rFonts w:ascii="Times New Roman" w:hAnsi="Times New Roman" w:eastAsia="方正仿宋_GBK"/>
                <w:sz w:val="24"/>
              </w:rPr>
              <w:t>渝中民〔2013〕306号</w:t>
            </w:r>
          </w:p>
        </w:tc>
        <w:tc>
          <w:tcPr>
            <w:tcW w:w="1455" w:type="dxa"/>
            <w:noWrap w:val="0"/>
            <w:vAlign w:val="top"/>
          </w:tcPr>
          <w:p>
            <w:pPr>
              <w:tabs>
                <w:tab w:val="center" w:pos="4507"/>
              </w:tabs>
              <w:spacing w:line="596" w:lineRule="exact"/>
              <w:rPr>
                <w:rFonts w:hint="eastAsia" w:ascii="方正仿宋_GBK" w:hAnsi="方正仿宋_GBK" w:eastAsia="方正仿宋_GBK" w:cs="方正仿宋_GBK"/>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noWrap w:val="0"/>
            <w:vAlign w:val="top"/>
          </w:tcPr>
          <w:p>
            <w:pPr>
              <w:tabs>
                <w:tab w:val="center" w:pos="4507"/>
              </w:tabs>
              <w:spacing w:line="596" w:lineRule="exact"/>
              <w:jc w:val="center"/>
              <w:rPr>
                <w:rFonts w:ascii="Times New Roman" w:hAnsi="Times New Roman" w:eastAsia="方正仿宋_GBK"/>
                <w:color w:val="000000"/>
                <w:sz w:val="30"/>
                <w:szCs w:val="30"/>
              </w:rPr>
            </w:pPr>
            <w:r>
              <w:rPr>
                <w:rFonts w:ascii="Times New Roman" w:hAnsi="Times New Roman" w:eastAsia="方正仿宋_GBK"/>
                <w:color w:val="000000"/>
                <w:sz w:val="30"/>
                <w:szCs w:val="30"/>
              </w:rPr>
              <w:t>4</w:t>
            </w:r>
          </w:p>
        </w:tc>
        <w:tc>
          <w:tcPr>
            <w:tcW w:w="4455" w:type="dxa"/>
            <w:noWrap w:val="0"/>
            <w:vAlign w:val="top"/>
          </w:tcPr>
          <w:p>
            <w:pPr>
              <w:tabs>
                <w:tab w:val="left" w:pos="1770"/>
              </w:tabs>
              <w:spacing w:line="360" w:lineRule="exact"/>
              <w:jc w:val="left"/>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重庆市渝中区民政局关于印发《渝中区支持社会组织参与社会服务项目财务管理规定（暂行）》的通知</w:t>
            </w:r>
          </w:p>
        </w:tc>
        <w:tc>
          <w:tcPr>
            <w:tcW w:w="2940" w:type="dxa"/>
            <w:noWrap w:val="0"/>
            <w:vAlign w:val="top"/>
          </w:tcPr>
          <w:p>
            <w:pPr>
              <w:tabs>
                <w:tab w:val="center" w:pos="4507"/>
              </w:tabs>
              <w:spacing w:line="596" w:lineRule="exact"/>
              <w:jc w:val="center"/>
              <w:rPr>
                <w:rFonts w:ascii="Times New Roman" w:hAnsi="Times New Roman" w:eastAsia="方正仿宋_GBK"/>
                <w:color w:val="000000"/>
                <w:sz w:val="24"/>
              </w:rPr>
            </w:pPr>
            <w:r>
              <w:rPr>
                <w:rFonts w:ascii="Times New Roman" w:hAnsi="Times New Roman" w:eastAsia="方正仿宋_GBK"/>
                <w:color w:val="000000"/>
                <w:sz w:val="24"/>
              </w:rPr>
              <w:t>渝中民〔2014〕59号</w:t>
            </w:r>
          </w:p>
        </w:tc>
        <w:tc>
          <w:tcPr>
            <w:tcW w:w="1455" w:type="dxa"/>
            <w:noWrap w:val="0"/>
            <w:vAlign w:val="top"/>
          </w:tcPr>
          <w:p>
            <w:pPr>
              <w:tabs>
                <w:tab w:val="center" w:pos="4507"/>
              </w:tabs>
              <w:spacing w:line="596" w:lineRule="exact"/>
              <w:rPr>
                <w:rFonts w:hint="eastAsia" w:ascii="方正仿宋_GBK" w:hAnsi="方正仿宋_GBK" w:eastAsia="方正仿宋_GBK" w:cs="方正仿宋_GBK"/>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noWrap w:val="0"/>
            <w:vAlign w:val="top"/>
          </w:tcPr>
          <w:p>
            <w:pPr>
              <w:tabs>
                <w:tab w:val="center" w:pos="4507"/>
              </w:tabs>
              <w:spacing w:line="596" w:lineRule="exact"/>
              <w:jc w:val="center"/>
              <w:rPr>
                <w:rFonts w:ascii="Times New Roman" w:hAnsi="Times New Roman" w:eastAsia="方正仿宋_GBK"/>
                <w:color w:val="000000"/>
                <w:sz w:val="30"/>
                <w:szCs w:val="30"/>
              </w:rPr>
            </w:pPr>
            <w:r>
              <w:rPr>
                <w:rFonts w:ascii="Times New Roman" w:hAnsi="Times New Roman" w:eastAsia="方正仿宋_GBK"/>
                <w:color w:val="000000"/>
                <w:sz w:val="30"/>
                <w:szCs w:val="30"/>
              </w:rPr>
              <w:t>5</w:t>
            </w:r>
          </w:p>
        </w:tc>
        <w:tc>
          <w:tcPr>
            <w:tcW w:w="4455" w:type="dxa"/>
            <w:noWrap w:val="0"/>
            <w:vAlign w:val="top"/>
          </w:tcPr>
          <w:p>
            <w:pPr>
              <w:tabs>
                <w:tab w:val="left" w:pos="1770"/>
              </w:tabs>
              <w:spacing w:line="360" w:lineRule="exact"/>
              <w:jc w:val="left"/>
              <w:rPr>
                <w:rFonts w:hint="eastAsia" w:ascii="方正仿宋_GBK" w:hAnsi="方正仿宋_GBK" w:eastAsia="方正仿宋_GBK" w:cs="方正仿宋_GBK"/>
                <w:color w:val="000000"/>
                <w:sz w:val="32"/>
                <w:szCs w:val="32"/>
              </w:rPr>
            </w:pPr>
            <w:r>
              <w:rPr>
                <w:rFonts w:eastAsia="方正仿宋_GBK"/>
                <w:sz w:val="24"/>
              </w:rPr>
              <w:t xml:space="preserve">重庆市渝中区民政局 重庆市渝中区财政局文件关于调整我区2015年度医疗救助对象资助参保标准的通知 </w:t>
            </w:r>
          </w:p>
        </w:tc>
        <w:tc>
          <w:tcPr>
            <w:tcW w:w="2940" w:type="dxa"/>
            <w:noWrap w:val="0"/>
            <w:vAlign w:val="top"/>
          </w:tcPr>
          <w:p>
            <w:pPr>
              <w:tabs>
                <w:tab w:val="center" w:pos="4507"/>
              </w:tabs>
              <w:spacing w:line="596" w:lineRule="exact"/>
              <w:jc w:val="center"/>
              <w:rPr>
                <w:rFonts w:ascii="Times New Roman" w:hAnsi="Times New Roman" w:eastAsia="方正仿宋_GBK"/>
                <w:color w:val="000000"/>
                <w:sz w:val="24"/>
              </w:rPr>
            </w:pPr>
            <w:r>
              <w:rPr>
                <w:rFonts w:ascii="Times New Roman" w:hAnsi="Times New Roman" w:eastAsia="方正仿宋_GBK"/>
                <w:sz w:val="24"/>
              </w:rPr>
              <w:t>渝中民〔2014〕339号</w:t>
            </w:r>
          </w:p>
        </w:tc>
        <w:tc>
          <w:tcPr>
            <w:tcW w:w="1455" w:type="dxa"/>
            <w:noWrap w:val="0"/>
            <w:vAlign w:val="top"/>
          </w:tcPr>
          <w:p>
            <w:pPr>
              <w:tabs>
                <w:tab w:val="center" w:pos="4507"/>
              </w:tabs>
              <w:spacing w:line="596" w:lineRule="exact"/>
              <w:rPr>
                <w:rFonts w:hint="eastAsia" w:ascii="方正仿宋_GBK" w:hAnsi="方正仿宋_GBK" w:eastAsia="方正仿宋_GBK" w:cs="方正仿宋_GBK"/>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noWrap w:val="0"/>
            <w:vAlign w:val="top"/>
          </w:tcPr>
          <w:p>
            <w:pPr>
              <w:tabs>
                <w:tab w:val="center" w:pos="4507"/>
              </w:tabs>
              <w:spacing w:line="596" w:lineRule="exact"/>
              <w:jc w:val="center"/>
              <w:rPr>
                <w:rFonts w:ascii="Times New Roman" w:hAnsi="Times New Roman" w:eastAsia="方正仿宋_GBK"/>
                <w:color w:val="000000"/>
                <w:sz w:val="30"/>
                <w:szCs w:val="30"/>
              </w:rPr>
            </w:pPr>
          </w:p>
        </w:tc>
        <w:tc>
          <w:tcPr>
            <w:tcW w:w="4455" w:type="dxa"/>
            <w:noWrap w:val="0"/>
            <w:vAlign w:val="top"/>
          </w:tcPr>
          <w:p>
            <w:pPr>
              <w:tabs>
                <w:tab w:val="left" w:pos="1770"/>
              </w:tabs>
              <w:spacing w:line="360" w:lineRule="exact"/>
              <w:jc w:val="left"/>
              <w:rPr>
                <w:rFonts w:hint="eastAsia" w:ascii="方正仿宋_GBK" w:hAnsi="方正仿宋_GBK" w:eastAsia="方正仿宋_GBK" w:cs="方正仿宋_GBK"/>
                <w:color w:val="000000"/>
                <w:sz w:val="24"/>
              </w:rPr>
            </w:pPr>
          </w:p>
        </w:tc>
        <w:tc>
          <w:tcPr>
            <w:tcW w:w="2940" w:type="dxa"/>
            <w:noWrap w:val="0"/>
            <w:vAlign w:val="top"/>
          </w:tcPr>
          <w:p>
            <w:pPr>
              <w:tabs>
                <w:tab w:val="center" w:pos="4507"/>
              </w:tabs>
              <w:spacing w:line="596" w:lineRule="exact"/>
              <w:jc w:val="center"/>
              <w:rPr>
                <w:rFonts w:ascii="Times New Roman" w:hAnsi="Times New Roman" w:eastAsia="方正仿宋_GBK"/>
                <w:color w:val="000000"/>
                <w:sz w:val="24"/>
              </w:rPr>
            </w:pPr>
          </w:p>
        </w:tc>
        <w:tc>
          <w:tcPr>
            <w:tcW w:w="1455" w:type="dxa"/>
            <w:noWrap w:val="0"/>
            <w:vAlign w:val="top"/>
          </w:tcPr>
          <w:p>
            <w:pPr>
              <w:tabs>
                <w:tab w:val="center" w:pos="4507"/>
              </w:tabs>
              <w:spacing w:line="596" w:lineRule="exact"/>
              <w:rPr>
                <w:rFonts w:hint="eastAsia" w:ascii="方正仿宋_GBK" w:hAnsi="方正仿宋_GBK" w:eastAsia="方正仿宋_GBK" w:cs="方正仿宋_GBK"/>
                <w:color w:val="000000"/>
                <w:sz w:val="32"/>
                <w:szCs w:val="32"/>
              </w:rPr>
            </w:pPr>
          </w:p>
        </w:tc>
      </w:tr>
    </w:tbl>
    <w:p>
      <w:pPr>
        <w:spacing w:line="600" w:lineRule="exact"/>
        <w:rPr>
          <w:rFonts w:ascii="Times New Roman" w:hAnsi="Times New Roman" w:eastAsia="方正黑体_GBK" w:cs="Times New Roman"/>
          <w:sz w:val="36"/>
          <w:szCs w:val="32"/>
        </w:rPr>
      </w:pPr>
    </w:p>
    <w:p>
      <w:pPr>
        <w:spacing w:line="600" w:lineRule="exact"/>
        <w:rPr>
          <w:rFonts w:ascii="Times New Roman" w:hAnsi="Times New Roman" w:eastAsia="方正黑体_GBK" w:cs="Times New Roman"/>
          <w:sz w:val="36"/>
          <w:szCs w:val="32"/>
        </w:rPr>
      </w:pPr>
    </w:p>
    <w:p>
      <w:pPr>
        <w:spacing w:line="600" w:lineRule="exact"/>
        <w:rPr>
          <w:rFonts w:ascii="Times New Roman" w:hAnsi="Times New Roman" w:eastAsia="方正黑体_GBK" w:cs="Times New Roman"/>
          <w:sz w:val="36"/>
          <w:szCs w:val="32"/>
        </w:rPr>
      </w:pPr>
    </w:p>
    <w:p>
      <w:pPr>
        <w:spacing w:line="600" w:lineRule="exact"/>
        <w:rPr>
          <w:rFonts w:ascii="Times New Roman" w:hAnsi="Times New Roman" w:eastAsia="方正黑体_GBK" w:cs="Times New Roman"/>
          <w:sz w:val="36"/>
          <w:szCs w:val="32"/>
        </w:rPr>
      </w:pPr>
    </w:p>
    <w:sectPr>
      <w:headerReference r:id="rId3" w:type="default"/>
      <w:footerReference r:id="rId4" w:type="default"/>
      <w:pgSz w:w="11906" w:h="16838"/>
      <w:pgMar w:top="1962" w:right="1474" w:bottom="1848" w:left="1588"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w:r>
  </w:p>
  <w:p>
    <w:pPr>
      <w:pStyle w:val="6"/>
      <w:ind w:left="4788" w:leftChars="2280" w:firstLine="6400" w:firstLineChars="2000"/>
      <w:rPr>
        <w:sz w:val="32"/>
      </w:rPr>
    </w:pPr>
    <w:r>
      <w:rPr>
        <w:sz w:val="32"/>
      </w:rPr>
      <w:pict>
        <v:line id="_x0000_s4099" o:spid="_x0000_s4099" o:spt="20" style="position:absolute;left:0pt;margin-left:-1.5pt;margin-top:5.9pt;height:0pt;width:443.7pt;z-index:251661312;mso-width-relative:page;mso-height-relative:page;"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path arrowok="t"/>
          <v:fill focussize="0,0"/>
          <v:stroke weight="1.75pt" color="#005192" joinstyle="miter"/>
          <v:imagedata o:title=""/>
          <o:lock v:ext="edit"/>
        </v:line>
      </w:pict>
    </w:r>
  </w:p>
  <w:p>
    <w:pPr>
      <w:pStyle w:val="6"/>
      <w:wordWrap w:val="0"/>
      <w:ind w:right="280"/>
      <w:jc w:val="right"/>
      <w:rPr>
        <w:rFonts w:ascii="宋体" w:hAnsi="宋体" w:eastAsia="宋体" w:cs="宋体"/>
        <w:b/>
        <w:bCs/>
        <w:color w:val="005192"/>
        <w:sz w:val="28"/>
        <w:szCs w:val="44"/>
      </w:rPr>
    </w:pPr>
    <w:r>
      <w:rPr>
        <w:rFonts w:hint="eastAsia" w:ascii="宋体" w:hAnsi="宋体" w:eastAsia="宋体" w:cs="宋体"/>
        <w:b/>
        <w:bCs/>
        <w:color w:val="005192"/>
        <w:sz w:val="28"/>
        <w:szCs w:val="44"/>
      </w:rPr>
      <w:t>重</w:t>
    </w:r>
    <w:r>
      <w:rPr>
        <w:rFonts w:ascii="宋体" w:hAnsi="宋体" w:eastAsia="宋体" w:cs="宋体"/>
        <w:b/>
        <w:bCs/>
        <w:color w:val="005192"/>
        <w:sz w:val="28"/>
        <w:szCs w:val="44"/>
      </w:rPr>
      <w:t>庆市渝中区民政局</w:t>
    </w:r>
    <w:r>
      <w:rPr>
        <w:rFonts w:hint="eastAsia" w:ascii="宋体" w:hAnsi="宋体" w:eastAsia="宋体" w:cs="宋体"/>
        <w:b/>
        <w:bCs/>
        <w:color w:val="005192"/>
        <w:sz w:val="28"/>
        <w:szCs w:val="44"/>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szCs w:val="32"/>
      </w:rPr>
    </w:pPr>
    <w:r>
      <w:rPr>
        <w:rFonts w:ascii="方正仿宋_GBK" w:hAnsi="方正仿宋_GBK" w:eastAsia="方正仿宋_GBK" w:cs="方正仿宋_GBK"/>
        <w:b/>
        <w:bCs/>
        <w:color w:val="000000" w:themeColor="text1"/>
        <w:sz w:val="32"/>
      </w:rPr>
      <w:pict>
        <v:line id="_x0000_s4097" o:spid="_x0000_s4097" o:spt="20" style="position:absolute;left:0pt;margin-left:-1.5pt;margin-top:36.4pt;height:0pt;width:443.7pt;z-index:251659264;mso-width-relative:page;mso-height-relative:page;"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path arrowok="t"/>
          <v:fill focussize="0,0"/>
          <v:stroke weight="1.75pt" color="#005192" joinstyle="miter"/>
          <v:imagedata o:title=""/>
          <o:lock v:ext="edit"/>
        </v:line>
      </w:pic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w:t>
    </w:r>
    <w:r>
      <w:rPr>
        <w:rFonts w:ascii="宋体" w:hAnsi="宋体" w:eastAsia="宋体" w:cs="宋体"/>
        <w:b/>
        <w:bCs/>
        <w:color w:val="005192"/>
        <w:sz w:val="32"/>
      </w:rPr>
      <w:t>庆市渝中区民政局</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YxMDY0MzFlNmI3NmUyZDhmOTNiZDgxMDM5MWY5OGQifQ=="/>
  </w:docVars>
  <w:rsids>
    <w:rsidRoot w:val="00172A27"/>
    <w:rsid w:val="00150736"/>
    <w:rsid w:val="00172A27"/>
    <w:rsid w:val="001E2EFC"/>
    <w:rsid w:val="00204B47"/>
    <w:rsid w:val="00291085"/>
    <w:rsid w:val="00434D53"/>
    <w:rsid w:val="00477342"/>
    <w:rsid w:val="0069399B"/>
    <w:rsid w:val="00736C6B"/>
    <w:rsid w:val="007B0A1C"/>
    <w:rsid w:val="008D1DBD"/>
    <w:rsid w:val="009238EB"/>
    <w:rsid w:val="00A80B74"/>
    <w:rsid w:val="00B65CFB"/>
    <w:rsid w:val="00B76288"/>
    <w:rsid w:val="00BC5BC4"/>
    <w:rsid w:val="00BD30DF"/>
    <w:rsid w:val="00C87075"/>
    <w:rsid w:val="00F25669"/>
    <w:rsid w:val="019E71BD"/>
    <w:rsid w:val="01E93D58"/>
    <w:rsid w:val="04B679C3"/>
    <w:rsid w:val="05F07036"/>
    <w:rsid w:val="06E00104"/>
    <w:rsid w:val="080F63D8"/>
    <w:rsid w:val="09341458"/>
    <w:rsid w:val="098254C2"/>
    <w:rsid w:val="0A766EDE"/>
    <w:rsid w:val="0AD64BE8"/>
    <w:rsid w:val="0B0912D7"/>
    <w:rsid w:val="0E025194"/>
    <w:rsid w:val="0EEF0855"/>
    <w:rsid w:val="0FC63CA0"/>
    <w:rsid w:val="11DB7C71"/>
    <w:rsid w:val="152D2DCA"/>
    <w:rsid w:val="187168EA"/>
    <w:rsid w:val="196673CA"/>
    <w:rsid w:val="1CF734C9"/>
    <w:rsid w:val="1DEC284C"/>
    <w:rsid w:val="1E6523AC"/>
    <w:rsid w:val="22440422"/>
    <w:rsid w:val="22BB4BBB"/>
    <w:rsid w:val="25EB1AF4"/>
    <w:rsid w:val="2DD05FE1"/>
    <w:rsid w:val="2EAE3447"/>
    <w:rsid w:val="31A15F24"/>
    <w:rsid w:val="31BD6E08"/>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128DB"/>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character" w:styleId="11">
    <w:name w:val="annotation reference"/>
    <w:basedOn w:val="9"/>
    <w:qFormat/>
    <w:uiPriority w:val="0"/>
    <w:rPr>
      <w:sz w:val="21"/>
      <w:szCs w:val="21"/>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495</Words>
  <Characters>533</Characters>
  <Lines>16</Lines>
  <Paragraphs>4</Paragraphs>
  <TotalTime>1</TotalTime>
  <ScaleCrop>false</ScaleCrop>
  <LinksUpToDate>false</LinksUpToDate>
  <CharactersWithSpaces>605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HP</cp:lastModifiedBy>
  <cp:lastPrinted>2022-06-06T16:09:00Z</cp:lastPrinted>
  <dcterms:modified xsi:type="dcterms:W3CDTF">2023-06-20T08:51:32Z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48C61CB29D3F4D9384F5922CF0F7FFB4</vt:lpwstr>
  </property>
</Properties>
</file>