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5F681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pacing w:val="-10"/>
          <w:sz w:val="44"/>
          <w:szCs w:val="44"/>
          <w:lang w:eastAsia="zh-CN"/>
        </w:rPr>
      </w:pPr>
      <w:r>
        <w:rPr>
          <w:rFonts w:hint="eastAsia" w:ascii="Times New Roman" w:hAnsi="Times New Roman" w:eastAsia="方正小标宋_GBK" w:cs="华文中宋"/>
          <w:spacing w:val="-10"/>
          <w:sz w:val="44"/>
          <w:szCs w:val="44"/>
          <w:lang w:eastAsia="zh-CN"/>
        </w:rPr>
        <w:t>重庆市渝中区规划与发展研究中心</w:t>
      </w:r>
    </w:p>
    <w:p w14:paraId="66F1104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w:t>
      </w:r>
      <w:r>
        <w:rPr>
          <w:rFonts w:hint="eastAsia" w:ascii="Times New Roman" w:hAnsi="Times New Roman" w:eastAsia="方正小标宋_GBK" w:cs="华文中宋"/>
          <w:spacing w:val="-10"/>
          <w:sz w:val="44"/>
          <w:szCs w:val="44"/>
          <w:lang w:val="en-US" w:eastAsia="zh-CN"/>
        </w:rPr>
        <w:t>6</w:t>
      </w:r>
      <w:r>
        <w:rPr>
          <w:rFonts w:hint="eastAsia" w:ascii="Times New Roman" w:hAnsi="Times New Roman" w:eastAsia="方正小标宋_GBK" w:cs="华文中宋"/>
          <w:spacing w:val="-10"/>
          <w:sz w:val="44"/>
          <w:szCs w:val="44"/>
        </w:rPr>
        <w:t>年单位预算情况说明</w:t>
      </w:r>
    </w:p>
    <w:p w14:paraId="31A04169">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Times New Roman" w:hAnsi="Times New Roman" w:eastAsia="华文中宋" w:cs="华文中宋"/>
          <w:sz w:val="44"/>
          <w:szCs w:val="44"/>
        </w:rPr>
      </w:pPr>
    </w:p>
    <w:p w14:paraId="214B7AF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一、单位基本情况</w:t>
      </w:r>
    </w:p>
    <w:p w14:paraId="15CFAA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4BF584D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 xml:space="preserve">围绕我区经济社会发展和城市建设综合规划中的重大问题策划、组织并跟踪研究和超前、主动研究，为区委、区政府决策提供建议和咨询意见，把区委、区政府决策的重大事项进行深化和具体化。受委托组织和参与对有关部门的经济社会发展、城市建设规划方案进行研究和论证。 </w:t>
      </w:r>
    </w:p>
    <w:p w14:paraId="662B4FB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定期研究全区经济社会发展、城市规划和建设发展动态，提出有关意见和建议。</w:t>
      </w:r>
    </w:p>
    <w:p w14:paraId="4696B4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根据区政府的部署，安排办理有关经济社会发展专项研究方案的制定和实施工作；承担或组织区政府城市规划和土地利用规划重要政策与课题的研究及重点地区发展规划的具体编制工作。</w:t>
      </w:r>
    </w:p>
    <w:p w14:paraId="5DA5E10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研究外地经济社会发展、城市建设综合规划的情况、问题及趋势，供区委、区政府领导和有关部门参考。</w:t>
      </w:r>
    </w:p>
    <w:p w14:paraId="24356BF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rPr>
      </w:pP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承担区政府组织制定的近期建设地块、项目的策划和规划方案研判工作；接受有关单位委托承担其他有利于服务和提高经济社会发展和城市规划质量的技术管理服务工作。</w:t>
      </w:r>
    </w:p>
    <w:p w14:paraId="4C32086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rPr>
      </w:pPr>
      <w:r>
        <w:rPr>
          <w:rFonts w:hint="eastAsia" w:ascii="Times New Roman" w:hAnsi="Times New Roman" w:eastAsia="方正仿宋_GBK" w:cs="Times New Roman"/>
          <w:sz w:val="32"/>
          <w:lang w:val="en-US" w:eastAsia="zh-CN"/>
        </w:rPr>
        <w:t>6.</w:t>
      </w:r>
      <w:r>
        <w:rPr>
          <w:rFonts w:hint="eastAsia" w:ascii="Times New Roman" w:hAnsi="Times New Roman" w:eastAsia="方正仿宋_GBK" w:cs="Times New Roman"/>
          <w:sz w:val="32"/>
        </w:rPr>
        <w:t xml:space="preserve">承担区委、区政府交办的其他工作。  </w:t>
      </w:r>
      <w:r>
        <w:rPr>
          <w:rFonts w:hint="eastAsia" w:ascii="方正楷体_GBK" w:hAnsi="方正楷体_GBK" w:eastAsia="方正楷体_GBK" w:cs="方正楷体_GBK"/>
          <w:sz w:val="32"/>
        </w:rPr>
        <w:t xml:space="preserve">    </w:t>
      </w:r>
    </w:p>
    <w:p w14:paraId="55B4A6A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（二）单位构成</w:t>
      </w:r>
    </w:p>
    <w:p w14:paraId="661D56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仿宋_GB2312"/>
          <w:sz w:val="32"/>
          <w:lang w:val="en-US" w:eastAsia="zh-CN"/>
        </w:rPr>
      </w:pPr>
      <w:r>
        <w:rPr>
          <w:rFonts w:hint="eastAsia" w:ascii="Times New Roman" w:hAnsi="Times New Roman" w:eastAsia="方正仿宋_GBK" w:cs="仿宋_GB2312"/>
          <w:sz w:val="32"/>
          <w:lang w:eastAsia="zh-CN"/>
        </w:rPr>
        <w:t>本单位根据实际情况内部机构由办公室和技术部组成，办公室负责人事、财务、后勤保障等工作，技术部负责承接各部门委托的规划编制、课题研究等技术性工作以及主管部门委派的其他工作等。</w:t>
      </w:r>
    </w:p>
    <w:p w14:paraId="7431EF9E">
      <w:pPr>
        <w:spacing w:line="600" w:lineRule="exact"/>
        <w:ind w:firstLine="640" w:firstLineChars="200"/>
        <w:rPr>
          <w:rFonts w:hint="eastAsia" w:ascii="Times New Roman" w:hAnsi="Times New Roman" w:eastAsia="方正黑体_GBK" w:cs="仿宋_GB2312"/>
          <w:sz w:val="32"/>
        </w:rPr>
      </w:pPr>
      <w:r>
        <w:rPr>
          <w:rFonts w:hint="eastAsia" w:ascii="Times New Roman" w:hAnsi="Times New Roman" w:eastAsia="方正黑体_GBK" w:cs="仿宋_GB2312"/>
          <w:sz w:val="32"/>
        </w:rPr>
        <w:t>二、单位收支总体情况</w:t>
      </w:r>
    </w:p>
    <w:p w14:paraId="7B2AA4ED">
      <w:pPr>
        <w:spacing w:line="600" w:lineRule="exact"/>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（一）收入预算</w:t>
      </w:r>
      <w:r>
        <w:rPr>
          <w:rFonts w:hint="eastAsia" w:ascii="Times New Roman" w:hAnsi="Times New Roman" w:eastAsia="方正仿宋_GBK" w:cs="仿宋_GB2312"/>
          <w:sz w:val="32"/>
        </w:rPr>
        <w:t>：</w:t>
      </w:r>
      <w:r>
        <w:rPr>
          <w:rFonts w:hint="eastAsia" w:ascii="Times New Roman" w:hAnsi="Times New Roman" w:eastAsia="方正仿宋_GBK" w:cs="仿宋_GB2312"/>
          <w:sz w:val="32"/>
          <w:lang w:eastAsia="zh-CN"/>
        </w:rPr>
        <w:t>2026</w:t>
      </w:r>
      <w:r>
        <w:rPr>
          <w:rFonts w:hint="eastAsia" w:ascii="Times New Roman" w:hAnsi="Times New Roman" w:eastAsia="方正仿宋_GBK" w:cs="仿宋_GB2312"/>
          <w:sz w:val="32"/>
        </w:rPr>
        <w:t>年年初预算数</w:t>
      </w:r>
      <w:r>
        <w:rPr>
          <w:rFonts w:hint="eastAsia" w:ascii="Times New Roman" w:hAnsi="Times New Roman" w:eastAsia="方正仿宋_GBK" w:cs="仿宋_GB2312"/>
          <w:sz w:val="32"/>
          <w:lang w:val="en-US" w:eastAsia="zh-CN"/>
        </w:rPr>
        <w:t>280</w:t>
      </w:r>
      <w:r>
        <w:rPr>
          <w:rFonts w:hint="eastAsia" w:ascii="Times New Roman" w:hAnsi="Times New Roman" w:eastAsia="方正仿宋_GBK" w:cs="仿宋_GB2312"/>
          <w:sz w:val="32"/>
        </w:rPr>
        <w:t>万元，其中：一般公共预算拨款</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万元，政府性基金预算拨款</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万元，国有资本经营预算收入</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万元，事业收入</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元，事业单位经营收入</w:t>
      </w:r>
      <w:r>
        <w:rPr>
          <w:rFonts w:hint="eastAsia" w:ascii="Times New Roman" w:hAnsi="Times New Roman" w:eastAsia="方正仿宋_GBK" w:cs="仿宋_GB2312"/>
          <w:sz w:val="32"/>
          <w:lang w:val="en-US" w:eastAsia="zh-CN"/>
        </w:rPr>
        <w:t>280</w:t>
      </w:r>
      <w:r>
        <w:rPr>
          <w:rFonts w:hint="eastAsia" w:ascii="Times New Roman" w:hAnsi="Times New Roman" w:eastAsia="方正仿宋_GBK" w:cs="仿宋_GB2312"/>
          <w:sz w:val="32"/>
        </w:rPr>
        <w:t>万元，其他收入</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r>
        <w:rPr>
          <w:rFonts w:hint="eastAsia" w:ascii="Times New Roman" w:hAnsi="Times New Roman" w:eastAsia="方正仿宋_GBK" w:cs="仿宋_GB2312"/>
          <w:sz w:val="32"/>
          <w:lang w:eastAsia="zh-CN"/>
        </w:rPr>
        <w:t>与2025</w:t>
      </w:r>
      <w:r>
        <w:rPr>
          <w:rFonts w:hint="eastAsia" w:ascii="Times New Roman" w:hAnsi="Times New Roman" w:eastAsia="方正仿宋_GBK" w:cs="仿宋_GB2312"/>
          <w:sz w:val="32"/>
        </w:rPr>
        <w:t>年</w:t>
      </w:r>
      <w:r>
        <w:rPr>
          <w:rFonts w:hint="eastAsia" w:ascii="Times New Roman" w:hAnsi="Times New Roman" w:eastAsia="方正仿宋_GBK" w:cs="仿宋_GB2312"/>
          <w:sz w:val="32"/>
          <w:lang w:eastAsia="zh-CN"/>
        </w:rPr>
        <w:t>持平</w:t>
      </w:r>
      <w:r>
        <w:rPr>
          <w:rFonts w:hint="eastAsia" w:ascii="Times New Roman" w:hAnsi="Times New Roman" w:eastAsia="方正仿宋_GBK" w:cs="仿宋_GB2312"/>
          <w:sz w:val="32"/>
        </w:rPr>
        <w:t>。</w:t>
      </w:r>
    </w:p>
    <w:p w14:paraId="7E1F6341">
      <w:pPr>
        <w:spacing w:line="600" w:lineRule="exact"/>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rPr>
        <w:t>：</w:t>
      </w:r>
      <w:r>
        <w:rPr>
          <w:rFonts w:hint="eastAsia" w:ascii="Times New Roman" w:hAnsi="Times New Roman" w:eastAsia="方正仿宋_GBK" w:cs="仿宋_GB2312"/>
          <w:sz w:val="32"/>
          <w:lang w:eastAsia="zh-CN"/>
        </w:rPr>
        <w:t>2026</w:t>
      </w:r>
      <w:r>
        <w:rPr>
          <w:rFonts w:hint="eastAsia" w:ascii="Times New Roman" w:hAnsi="Times New Roman" w:eastAsia="方正仿宋_GBK" w:cs="仿宋_GB2312"/>
          <w:sz w:val="32"/>
        </w:rPr>
        <w:t>年年初预算数</w:t>
      </w:r>
      <w:r>
        <w:rPr>
          <w:rFonts w:hint="eastAsia" w:ascii="Times New Roman" w:hAnsi="Times New Roman" w:eastAsia="方正仿宋_GBK" w:cs="仿宋_GB2312"/>
          <w:sz w:val="32"/>
          <w:lang w:val="en-US" w:eastAsia="zh-CN"/>
        </w:rPr>
        <w:t>280</w:t>
      </w:r>
      <w:r>
        <w:rPr>
          <w:rFonts w:hint="eastAsia" w:ascii="Times New Roman" w:hAnsi="Times New Roman" w:eastAsia="方正仿宋_GBK" w:cs="仿宋_GB2312"/>
          <w:sz w:val="32"/>
        </w:rPr>
        <w:t>万元，其中：一般公共服务支出预算</w:t>
      </w:r>
      <w:r>
        <w:rPr>
          <w:rFonts w:hint="eastAsia" w:ascii="Times New Roman" w:hAnsi="Times New Roman" w:eastAsia="方正仿宋_GBK" w:cs="仿宋_GB2312"/>
          <w:sz w:val="32"/>
          <w:lang w:val="en-US" w:eastAsia="zh-CN"/>
        </w:rPr>
        <w:t>280</w:t>
      </w:r>
      <w:r>
        <w:rPr>
          <w:rFonts w:hint="eastAsia" w:ascii="Times New Roman" w:hAnsi="Times New Roman" w:eastAsia="方正仿宋_GBK" w:cs="仿宋_GB2312"/>
          <w:sz w:val="32"/>
        </w:rPr>
        <w:t>万元，教育支出预算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万元，社会保障和就业支出预算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万元，卫生健康支出预算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万元，住房保障支出预算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r>
        <w:rPr>
          <w:rFonts w:hint="eastAsia" w:ascii="Times New Roman" w:hAnsi="Times New Roman" w:eastAsia="方正仿宋_GBK" w:cs="仿宋_GB2312"/>
          <w:sz w:val="32"/>
          <w:lang w:eastAsia="zh-CN"/>
        </w:rPr>
        <w:t>与2025</w:t>
      </w:r>
      <w:r>
        <w:rPr>
          <w:rFonts w:hint="eastAsia" w:ascii="Times New Roman" w:hAnsi="Times New Roman" w:eastAsia="方正仿宋_GBK" w:cs="仿宋_GB2312"/>
          <w:sz w:val="32"/>
        </w:rPr>
        <w:t>年</w:t>
      </w:r>
      <w:r>
        <w:rPr>
          <w:rFonts w:hint="eastAsia" w:ascii="Times New Roman" w:hAnsi="Times New Roman" w:eastAsia="方正仿宋_GBK" w:cs="仿宋_GB2312"/>
          <w:sz w:val="32"/>
          <w:lang w:eastAsia="zh-CN"/>
        </w:rPr>
        <w:t>持平</w:t>
      </w:r>
      <w:r>
        <w:rPr>
          <w:rFonts w:hint="eastAsia" w:ascii="Times New Roman" w:hAnsi="Times New Roman" w:eastAsia="方正仿宋_GBK" w:cs="仿宋_GB2312"/>
          <w:sz w:val="32"/>
        </w:rPr>
        <w:t>。</w:t>
      </w:r>
    </w:p>
    <w:p w14:paraId="508EBD59">
      <w:pPr>
        <w:spacing w:line="600" w:lineRule="exact"/>
        <w:ind w:firstLine="640" w:firstLineChars="200"/>
        <w:rPr>
          <w:rFonts w:hint="eastAsia" w:ascii="Times New Roman" w:hAnsi="Times New Roman" w:eastAsia="方正仿宋_GBK" w:cs="仿宋_GB2312"/>
          <w:sz w:val="32"/>
        </w:rPr>
      </w:pPr>
      <w:r>
        <w:rPr>
          <w:rFonts w:hint="eastAsia" w:ascii="Times New Roman" w:hAnsi="Times New Roman" w:eastAsia="方正黑体_GBK" w:cs="仿宋_GB2312"/>
          <w:sz w:val="32"/>
        </w:rPr>
        <w:t>三</w:t>
      </w:r>
      <w:r>
        <w:rPr>
          <w:rFonts w:ascii="Times New Roman" w:hAnsi="Times New Roman" w:eastAsia="方正黑体_GBK" w:cs="仿宋_GB2312"/>
          <w:sz w:val="32"/>
        </w:rPr>
        <w:t>、</w:t>
      </w:r>
      <w:r>
        <w:rPr>
          <w:rFonts w:hint="eastAsia" w:ascii="Times New Roman" w:hAnsi="Times New Roman" w:eastAsia="方正黑体_GBK" w:cs="仿宋_GB2312"/>
          <w:sz w:val="32"/>
        </w:rPr>
        <w:t>单位预算情况说明</w:t>
      </w:r>
    </w:p>
    <w:p w14:paraId="261F573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lang w:eastAsia="zh-CN"/>
        </w:rPr>
        <w:t>渝中区规划与发展研究中心202</w:t>
      </w:r>
      <w:r>
        <w:rPr>
          <w:rFonts w:hint="eastAsia" w:ascii="Times New Roman" w:hAnsi="Times New Roman" w:eastAsia="方正仿宋_GBK" w:cs="仿宋_GB2312"/>
          <w:sz w:val="32"/>
          <w:lang w:val="en-US" w:eastAsia="zh-CN"/>
        </w:rPr>
        <w:t>6</w:t>
      </w:r>
      <w:r>
        <w:rPr>
          <w:rFonts w:hint="eastAsia" w:ascii="Times New Roman" w:hAnsi="Times New Roman" w:eastAsia="方正仿宋_GBK" w:cs="仿宋_GB2312"/>
          <w:sz w:val="32"/>
        </w:rPr>
        <w:t>年</w:t>
      </w:r>
      <w:r>
        <w:rPr>
          <w:rFonts w:hint="eastAsia" w:ascii="Times New Roman" w:hAnsi="Times New Roman" w:eastAsia="方正仿宋_GBK" w:cs="仿宋_GB2312"/>
          <w:sz w:val="32"/>
          <w:lang w:eastAsia="zh-CN"/>
        </w:rPr>
        <w:t>无</w:t>
      </w:r>
      <w:r>
        <w:rPr>
          <w:rFonts w:hint="eastAsia" w:ascii="Times New Roman" w:hAnsi="Times New Roman" w:eastAsia="方正仿宋_GBK" w:cs="仿宋_GB2312"/>
          <w:sz w:val="32"/>
        </w:rPr>
        <w:t>一般公共预算财政拨款收入</w:t>
      </w:r>
      <w:r>
        <w:rPr>
          <w:rFonts w:hint="eastAsia" w:ascii="Times New Roman" w:hAnsi="Times New Roman" w:eastAsia="方正仿宋_GBK" w:cs="仿宋_GB2312"/>
          <w:sz w:val="32"/>
          <w:lang w:eastAsia="zh-CN"/>
        </w:rPr>
        <w:t>及支出</w:t>
      </w:r>
      <w:r>
        <w:rPr>
          <w:rFonts w:hint="eastAsia" w:ascii="Times New Roman" w:hAnsi="Times New Roman" w:eastAsia="方正仿宋_GBK" w:cs="仿宋_GB2312"/>
          <w:sz w:val="32"/>
        </w:rPr>
        <w:t>。</w:t>
      </w:r>
    </w:p>
    <w:p w14:paraId="100D6F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仿宋_GB2312"/>
          <w:sz w:val="32"/>
          <w:lang w:val="en-US" w:eastAsia="zh-CN"/>
        </w:rPr>
      </w:pPr>
      <w:r>
        <w:rPr>
          <w:rFonts w:hint="eastAsia" w:ascii="Times New Roman" w:hAnsi="Times New Roman" w:eastAsia="方正仿宋_GBK" w:cs="仿宋_GB2312"/>
          <w:sz w:val="32"/>
          <w:lang w:eastAsia="zh-CN"/>
        </w:rPr>
        <w:t>渝中区规划与发展研究中心</w:t>
      </w:r>
      <w:r>
        <w:rPr>
          <w:rFonts w:hint="eastAsia" w:ascii="Times New Roman" w:hAnsi="Times New Roman" w:eastAsia="方正仿宋_GBK" w:cs="仿宋_GB2312"/>
          <w:sz w:val="32"/>
          <w:lang w:val="en-US" w:eastAsia="zh-CN"/>
        </w:rPr>
        <w:t>2026年无使用政府性基金预算拨款安排的支出。</w:t>
      </w:r>
    </w:p>
    <w:p w14:paraId="2DFFD6AB">
      <w:pPr>
        <w:spacing w:line="600" w:lineRule="exact"/>
        <w:ind w:firstLine="640" w:firstLineChars="200"/>
        <w:rPr>
          <w:rFonts w:hint="eastAsia" w:ascii="Times New Roman" w:hAnsi="Times New Roman" w:eastAsia="方正仿宋_GBK" w:cs="仿宋_GB2312"/>
          <w:sz w:val="32"/>
        </w:rPr>
      </w:pPr>
      <w:r>
        <w:rPr>
          <w:rFonts w:hint="eastAsia" w:ascii="Times New Roman" w:hAnsi="Times New Roman" w:eastAsia="方正黑体_GBK" w:cs="仿宋_GB2312"/>
          <w:sz w:val="32"/>
        </w:rPr>
        <w:t>四</w:t>
      </w:r>
      <w:r>
        <w:rPr>
          <w:rFonts w:ascii="Times New Roman" w:hAnsi="Times New Roman" w:eastAsia="方正黑体_GBK" w:cs="仿宋_GB2312"/>
          <w:sz w:val="32"/>
        </w:rPr>
        <w:t>、</w:t>
      </w:r>
      <w:r>
        <w:rPr>
          <w:rFonts w:hint="eastAsia" w:ascii="Times New Roman" w:hAnsi="Times New Roman" w:eastAsia="方正黑体_GBK" w:cs="仿宋_GB2312"/>
          <w:sz w:val="32"/>
        </w:rPr>
        <w:t>“三公”经费情况说明</w:t>
      </w:r>
    </w:p>
    <w:p w14:paraId="4666437F">
      <w:pPr>
        <w:spacing w:line="600" w:lineRule="exact"/>
        <w:ind w:firstLine="600"/>
        <w:rPr>
          <w:rFonts w:hint="eastAsia" w:ascii="Times New Roman" w:hAnsi="Times New Roman" w:eastAsia="方正仿宋_GBK" w:cs="仿宋_GB2312"/>
          <w:sz w:val="32"/>
        </w:rPr>
      </w:pPr>
      <w:r>
        <w:rPr>
          <w:rFonts w:hint="eastAsia" w:ascii="Times New Roman" w:hAnsi="Times New Roman" w:eastAsia="方正仿宋_GBK" w:cs="仿宋_GB2312"/>
          <w:sz w:val="32"/>
          <w:lang w:eastAsia="zh-CN"/>
        </w:rPr>
        <w:t>2026</w:t>
      </w:r>
      <w:r>
        <w:rPr>
          <w:rFonts w:hint="eastAsia" w:ascii="Times New Roman" w:hAnsi="Times New Roman" w:eastAsia="方正仿宋_GBK" w:cs="仿宋_GB2312"/>
          <w:sz w:val="32"/>
        </w:rPr>
        <w:t>年“三公”经费预算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r>
        <w:rPr>
          <w:rFonts w:hint="eastAsia" w:ascii="Times New Roman" w:hAnsi="Times New Roman" w:eastAsia="方正仿宋_GBK" w:cs="仿宋_GB2312"/>
          <w:sz w:val="32"/>
          <w:lang w:eastAsia="zh-CN"/>
        </w:rPr>
        <w:t>与2025</w:t>
      </w:r>
      <w:r>
        <w:rPr>
          <w:rFonts w:hint="eastAsia" w:ascii="Times New Roman" w:hAnsi="Times New Roman" w:eastAsia="方正仿宋_GBK" w:cs="仿宋_GB2312"/>
          <w:sz w:val="32"/>
        </w:rPr>
        <w:t>年</w:t>
      </w:r>
      <w:r>
        <w:rPr>
          <w:rFonts w:hint="eastAsia" w:ascii="Times New Roman" w:hAnsi="Times New Roman" w:eastAsia="方正仿宋_GBK" w:cs="仿宋_GB2312"/>
          <w:sz w:val="32"/>
          <w:lang w:eastAsia="zh-CN"/>
        </w:rPr>
        <w:t>持平</w:t>
      </w:r>
      <w:r>
        <w:rPr>
          <w:rFonts w:hint="eastAsia" w:ascii="Times New Roman" w:hAnsi="Times New Roman" w:eastAsia="方正仿宋_GBK" w:cs="仿宋_GB2312"/>
          <w:sz w:val="32"/>
        </w:rPr>
        <w:t>。</w:t>
      </w:r>
    </w:p>
    <w:p w14:paraId="478F5DE0">
      <w:pPr>
        <w:spacing w:line="600" w:lineRule="exact"/>
        <w:ind w:firstLine="640" w:firstLineChars="200"/>
        <w:rPr>
          <w:rFonts w:hint="eastAsia"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14:paraId="4DC3846B">
      <w:pPr>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r>
        <w:rPr>
          <w:rFonts w:hint="eastAsia" w:ascii="Times New Roman" w:hAnsi="Times New Roman" w:eastAsia="方正仿宋_GBK" w:cs="仿宋_GB2312"/>
          <w:sz w:val="32"/>
        </w:rPr>
        <w:t>我单位不在机关运行经费统计范围之内。</w:t>
      </w:r>
    </w:p>
    <w:p w14:paraId="465738CF">
      <w:pPr>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仿宋_GB2312"/>
          <w:sz w:val="32"/>
          <w:lang w:val="en-US" w:eastAsia="zh-CN"/>
        </w:rPr>
        <w:t>5</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5</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14:paraId="3215FAC3">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lang w:eastAsia="zh-CN"/>
        </w:rPr>
        <w:t>2026</w:t>
      </w:r>
      <w:r>
        <w:rPr>
          <w:rFonts w:hint="eastAsia" w:ascii="Times New Roman" w:hAnsi="Times New Roman" w:eastAsia="方正仿宋_GBK" w:cs="仿宋_GB2312"/>
          <w:color w:val="000000"/>
          <w:sz w:val="32"/>
        </w:rPr>
        <w:t>年项目支出均实行了绩效目标管理，涉及一般公共预算财政拨款</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万元。</w:t>
      </w:r>
    </w:p>
    <w:p w14:paraId="642F0820">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。截止</w:t>
      </w:r>
      <w:r>
        <w:rPr>
          <w:rFonts w:hint="eastAsia" w:ascii="Times New Roman" w:hAnsi="Times New Roman" w:eastAsia="方正仿宋_GBK" w:cs="仿宋_GB2312"/>
          <w:color w:val="000000"/>
          <w:sz w:val="32"/>
          <w:lang w:eastAsia="zh-CN"/>
        </w:rPr>
        <w:t>2025</w:t>
      </w:r>
      <w:r>
        <w:rPr>
          <w:rFonts w:hint="eastAsia" w:ascii="Times New Roman" w:hAnsi="Times New Roman" w:eastAsia="方正仿宋_GBK" w:cs="仿宋_GB2312"/>
          <w:color w:val="000000"/>
          <w:sz w:val="32"/>
        </w:rPr>
        <w:t>年12月，本单位共有车辆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辆、执勤执法用车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eastAsia" w:ascii="Times New Roman" w:hAnsi="Times New Roman" w:eastAsia="方正仿宋_GBK" w:cs="仿宋_GB2312"/>
          <w:color w:val="000000"/>
          <w:sz w:val="32"/>
          <w:lang w:eastAsia="zh-CN"/>
        </w:rPr>
        <w:t>2026</w:t>
      </w:r>
      <w:r>
        <w:rPr>
          <w:rFonts w:hint="eastAsia" w:ascii="Times New Roman" w:hAnsi="Times New Roman" w:eastAsia="方正仿宋_GBK" w:cs="仿宋_GB2312"/>
          <w:color w:val="000000"/>
          <w:sz w:val="32"/>
        </w:rPr>
        <w:t>年一般公共预算安排购置车辆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辆、执勤执法用车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14:paraId="616A9AD6">
      <w:pPr>
        <w:spacing w:line="578" w:lineRule="exact"/>
        <w:ind w:firstLine="640" w:firstLineChars="200"/>
        <w:rPr>
          <w:rFonts w:hint="eastAsia" w:ascii="Times New Roman" w:hAnsi="Times New Roman" w:eastAsia="方正仿宋_GBK"/>
          <w:sz w:val="32"/>
          <w:szCs w:val="32"/>
        </w:rPr>
      </w:pPr>
      <w:r>
        <w:rPr>
          <w:rFonts w:hint="eastAsia" w:ascii="Times New Roman" w:hAnsi="Times New Roman" w:eastAsia="方正黑体_GBK" w:cs="仿宋_GB2312"/>
          <w:sz w:val="32"/>
        </w:rPr>
        <w:t>六</w:t>
      </w:r>
      <w:r>
        <w:rPr>
          <w:rFonts w:ascii="Times New Roman" w:hAnsi="Times New Roman" w:eastAsia="方正黑体_GBK" w:cs="仿宋_GB2312"/>
          <w:sz w:val="32"/>
        </w:rPr>
        <w:t>、</w:t>
      </w:r>
      <w:r>
        <w:rPr>
          <w:rFonts w:hint="eastAsia" w:ascii="Times New Roman" w:hAnsi="Times New Roman" w:eastAsia="方正黑体_GBK" w:cs="仿宋_GB2312"/>
          <w:sz w:val="32"/>
        </w:rPr>
        <w:t>专业性名词解释</w:t>
      </w:r>
    </w:p>
    <w:p w14:paraId="7CC9E0B2">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1F1E2E35">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（二）其他收入</w:t>
      </w:r>
      <w:r>
        <w:rPr>
          <w:rFonts w:hint="eastAsia" w:ascii="Times New Roman" w:hAnsi="Times New Roman" w:eastAsia="方正仿宋_GBK"/>
          <w:sz w:val="32"/>
          <w:szCs w:val="32"/>
        </w:rPr>
        <w:t>：指单位取得的除“财政拨款收入”、“事业收入”、“经营收入”等以外的收入。</w:t>
      </w:r>
    </w:p>
    <w:p w14:paraId="38489F78">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（三）基本支出</w:t>
      </w:r>
      <w:r>
        <w:rPr>
          <w:rFonts w:hint="eastAsia" w:ascii="Times New Roman" w:hAnsi="Times New Roman" w:eastAsia="方正仿宋_GBK"/>
          <w:sz w:val="32"/>
          <w:szCs w:val="32"/>
        </w:rPr>
        <w:t>：指为保障机构正常运转、完成日常工作任务而发生的人员经费和公用经费。</w:t>
      </w:r>
    </w:p>
    <w:p w14:paraId="5A2CC115">
      <w:pPr>
        <w:pStyle w:val="13"/>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（四）项目支出</w:t>
      </w:r>
      <w:r>
        <w:rPr>
          <w:rFonts w:hint="eastAsia" w:ascii="Times New Roman" w:hAnsi="Times New Roman" w:eastAsia="方正仿宋_GBK"/>
          <w:sz w:val="32"/>
          <w:szCs w:val="32"/>
        </w:rPr>
        <w:t>：指在基本支出之外为完成特定行政任务和事业发展目标所发生的支出。</w:t>
      </w:r>
    </w:p>
    <w:p w14:paraId="6C1F139C">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（五）“三公”经费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w:t>
      </w:r>
      <w:bookmarkStart w:id="0" w:name="_GoBack"/>
      <w:bookmarkEnd w:id="0"/>
      <w:r>
        <w:rPr>
          <w:rFonts w:hint="eastAsia" w:ascii="Times New Roman" w:hAnsi="Times New Roman" w:eastAsia="方正仿宋_GBK"/>
          <w:sz w:val="32"/>
          <w:szCs w:val="32"/>
        </w:rPr>
        <w:t>位按规定保留的公务用车燃料费、维修费、过路过桥费、保险费、安全奖励费用等支出；公务接待费反映单位按规定开支的各类公务接待（含外宾接待）支出。</w:t>
      </w:r>
    </w:p>
    <w:p w14:paraId="34F55FF1">
      <w:pPr>
        <w:ind w:firstLine="643" w:firstLineChars="200"/>
        <w:rPr>
          <w:rFonts w:hint="eastAsia" w:ascii="Times New Roman" w:hAnsi="Times New Roman" w:eastAsia="方正仿宋_GBK" w:cs="仿宋_GB2312"/>
          <w:b/>
          <w:sz w:val="32"/>
        </w:rPr>
      </w:pPr>
      <w:r>
        <w:rPr>
          <w:rFonts w:hint="eastAsia" w:ascii="Times New Roman" w:hAnsi="Times New Roman" w:eastAsia="方正仿宋_GBK" w:cs="仿宋_GB2312"/>
          <w:b/>
          <w:sz w:val="32"/>
        </w:rPr>
        <w:t>单位预算公开联系人：</w:t>
      </w:r>
      <w:r>
        <w:rPr>
          <w:rFonts w:hint="eastAsia" w:ascii="Times New Roman" w:hAnsi="Times New Roman" w:eastAsia="方正仿宋_GBK" w:cs="仿宋_GB2312"/>
          <w:b/>
          <w:sz w:val="32"/>
          <w:lang w:val="en-US" w:eastAsia="zh-CN"/>
        </w:rPr>
        <w:t>蒋萍浪</w:t>
      </w:r>
      <w:r>
        <w:rPr>
          <w:rFonts w:hint="eastAsia" w:ascii="Times New Roman" w:hAnsi="Times New Roman" w:eastAsia="方正仿宋_GBK" w:cs="仿宋_GB2312"/>
          <w:b/>
          <w:sz w:val="32"/>
        </w:rPr>
        <w:t xml:space="preserve"> 联系方式：</w:t>
      </w:r>
      <w:r>
        <w:rPr>
          <w:rFonts w:hint="eastAsia" w:ascii="Times New Roman" w:hAnsi="Times New Roman" w:eastAsia="方正仿宋_GBK" w:cs="仿宋_GB2312"/>
          <w:b/>
          <w:sz w:val="32"/>
          <w:lang w:val="en-US" w:eastAsia="zh-CN"/>
        </w:rPr>
        <w:t>023-63315105</w:t>
      </w:r>
    </w:p>
    <w:sectPr>
      <w:footerReference r:id="rId3" w:type="default"/>
      <w:footerReference r:id="rId4" w:type="even"/>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
    <w:altName w:val="黑体"/>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4D3E">
    <w:pPr>
      <w:pStyle w:val="3"/>
      <w:jc w:val="right"/>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lang/>
      </w:rPr>
      <w:t>1</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40F0">
    <w:pPr>
      <w:pStyle w:val="3"/>
      <w:ind w:right="360"/>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lang/>
      </w:rPr>
      <w:t>4</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YzYzM2E4MzFhM2NkZDBiNmMwNDI3N2NhMDlkYzgifQ=="/>
  </w:docVars>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3BC5"/>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0DDD"/>
    <w:rsid w:val="0058350C"/>
    <w:rsid w:val="00595C24"/>
    <w:rsid w:val="005A1227"/>
    <w:rsid w:val="005A4606"/>
    <w:rsid w:val="005A4AD7"/>
    <w:rsid w:val="005B0F11"/>
    <w:rsid w:val="005C3DD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2254"/>
    <w:rsid w:val="00F258CE"/>
    <w:rsid w:val="00F46DD2"/>
    <w:rsid w:val="00F605C0"/>
    <w:rsid w:val="00F649FE"/>
    <w:rsid w:val="00F66710"/>
    <w:rsid w:val="00F84112"/>
    <w:rsid w:val="00F84AC6"/>
    <w:rsid w:val="00F86A3C"/>
    <w:rsid w:val="00F90464"/>
    <w:rsid w:val="00F9492F"/>
    <w:rsid w:val="00FC2169"/>
    <w:rsid w:val="00FC2267"/>
    <w:rsid w:val="00FE12C3"/>
    <w:rsid w:val="00FE28C5"/>
    <w:rsid w:val="00FF0B1F"/>
    <w:rsid w:val="00FF197F"/>
    <w:rsid w:val="17D751F6"/>
    <w:rsid w:val="18CC21E2"/>
    <w:rsid w:val="19D75DEA"/>
    <w:rsid w:val="208668FD"/>
    <w:rsid w:val="23C976FD"/>
    <w:rsid w:val="24C37CD9"/>
    <w:rsid w:val="2FA55BC6"/>
    <w:rsid w:val="37BE4DB3"/>
    <w:rsid w:val="39E51210"/>
    <w:rsid w:val="3BC5739B"/>
    <w:rsid w:val="3E8B4402"/>
    <w:rsid w:val="42543C1B"/>
    <w:rsid w:val="48310C7F"/>
    <w:rsid w:val="5F334021"/>
    <w:rsid w:val="6C7B0791"/>
    <w:rsid w:val="790B43A5"/>
    <w:rsid w:val="7AD205ED"/>
    <w:rsid w:val="7DC477BF"/>
    <w:rsid w:val="7E7E24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page number"/>
    <w:unhideWhenUsed/>
    <w:uiPriority w:val="0"/>
  </w:style>
  <w:style w:type="character" w:customStyle="1" w:styleId="9">
    <w:name w:val="批注框文本 Char"/>
    <w:link w:val="2"/>
    <w:uiPriority w:val="0"/>
    <w:rPr>
      <w:kern w:val="2"/>
      <w:sz w:val="18"/>
      <w:szCs w:val="18"/>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 w:type="character" w:customStyle="1" w:styleId="12">
    <w:name w:val="页脚 字符1"/>
    <w:semiHidden/>
    <w:locked/>
    <w:uiPriority w:val="0"/>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4</Pages>
  <Words>1702</Words>
  <Characters>1798</Characters>
  <Lines>13</Lines>
  <Paragraphs>3</Paragraphs>
  <TotalTime>0</TotalTime>
  <ScaleCrop>false</ScaleCrop>
  <LinksUpToDate>false</LinksUpToDate>
  <CharactersWithSpaces>1898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2022-02-09T11:19:00Z</dcterms:created>
  <dc:creator>Administrator</dc:creator>
  <cp:lastModifiedBy>简单</cp:lastModifiedBy>
  <cp:lastPrinted>2018-01-02T08:11:00Z</cp:lastPrinted>
  <dcterms:modified xsi:type="dcterms:W3CDTF">2026-02-11T07:01:41Z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6AC3B8997B044607AD69F479828913BD_13</vt:lpwstr>
  </property>
  <property fmtid="{D5CDD505-2E9C-101B-9397-08002B2CF9AE}" pid="4" name="KSOTemplateDocerSaveRecord">
    <vt:lpwstr>eyJoZGlkIjoiMzdhNTdhYjU4NTM4NGYzOGE0ZWM0MmRhNjY5MTI0YTAiLCJ1c2VySWQiOiIxMTY1NzE4NDM2In0=</vt:lpwstr>
  </property>
</Properties>
</file>